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framePr w:wrap="around"/>
      </w:pPr>
      <w:r>
        <w:rPr>
          <w:rFonts w:hint="eastAsia"/>
        </w:rPr>
        <w:t>柴油机电控共轨系统</w:t>
      </w:r>
      <w:r>
        <w:t xml:space="preserve">  线束部件</w:t>
      </w:r>
    </w:p>
    <w:p>
      <w:pPr>
        <w:pStyle w:val="43"/>
        <w:framePr w:wrap="around"/>
        <w:rPr>
          <w:rFonts w:ascii="黑体" w:hAnsi="黑体"/>
        </w:rPr>
      </w:pPr>
      <w:bookmarkStart w:id="0" w:name="_Hlk103243066"/>
      <w:r>
        <w:rPr>
          <w:rFonts w:ascii="黑体" w:hAnsi="黑体"/>
        </w:rPr>
        <w:t>Electronic control common rail injection system for diesel engine—</w:t>
      </w:r>
      <w:r>
        <w:rPr>
          <w:rFonts w:hint="eastAsia" w:ascii="黑体" w:hAnsi="黑体"/>
        </w:rPr>
        <w:t>wi</w:t>
      </w:r>
      <w:r>
        <w:rPr>
          <w:rFonts w:ascii="黑体" w:hAnsi="黑体"/>
        </w:rPr>
        <w:t>re harness component</w:t>
      </w:r>
    </w:p>
    <w:p>
      <w:pPr>
        <w:pStyle w:val="44"/>
        <w:framePr w:wrap="around"/>
      </w:pPr>
      <w:r>
        <w:rPr>
          <w:rFonts w:hint="eastAsia"/>
        </w:rPr>
        <w:t>XXXX</w:t>
      </w:r>
      <w:r>
        <w:t>-</w:t>
      </w:r>
      <w:r>
        <w:rPr>
          <w:rFonts w:hint="eastAsia"/>
        </w:rPr>
        <w:t>XX</w:t>
      </w:r>
      <w:r>
        <w:t>-</w:t>
      </w:r>
      <w:r>
        <w:rPr>
          <w:rFonts w:hint="eastAsia"/>
        </w:rPr>
        <w:t>XX发布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3"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FtSG4nKAQAAoAMAAA4AAAAAAAAAAQAgAAAAJQEAAGRy&#10;cy9lMm9Eb2MueG1sUEsFBgAAAAAGAAYAWQEAAGEFAAAAAA==&#10;">
                <v:fill on="f" focussize="0,0"/>
                <v:stroke color="#000000" joinstyle="round"/>
                <v:imagedata o:title=""/>
                <o:lock v:ext="edit" aspectratio="f"/>
                <w10:anchorlock/>
              </v:line>
            </w:pict>
          </mc:Fallback>
        </mc:AlternateContent>
      </w:r>
    </w:p>
    <w:p>
      <w:pPr>
        <w:pStyle w:val="45"/>
        <w:framePr w:wrap="around"/>
      </w:pPr>
      <w:r>
        <w:rPr>
          <w:rFonts w:hint="eastAsia"/>
        </w:rPr>
        <w:t>XX</w:t>
      </w:r>
      <w:r>
        <w:t>-</w:t>
      </w:r>
      <w:r>
        <w:rPr>
          <w:rFonts w:hint="eastAsia"/>
        </w:rPr>
        <w:t>XX</w:t>
      </w:r>
      <w:r>
        <w:t>-</w:t>
      </w:r>
      <w:r>
        <w:rPr>
          <w:rFonts w:hint="eastAsia"/>
        </w:rPr>
        <w:t>XX实施</w:t>
      </w:r>
    </w:p>
    <w:p>
      <w:pPr>
        <w:pStyle w:val="42"/>
        <w:framePr w:wrap="around"/>
        <w:rPr>
          <w:rFonts w:hint="eastAsia" w:ascii="黑体" w:hAnsi="黑体" w:eastAsia="黑体"/>
          <w:b w:val="0"/>
        </w:rPr>
      </w:pPr>
      <w:r>
        <w:rPr>
          <w:rFonts w:hint="eastAsia" w:ascii="黑体" w:hAnsi="黑体" w:eastAsia="黑体"/>
          <w:b w:val="0"/>
          <w:spacing w:val="0"/>
          <w:szCs w:val="28"/>
        </w:rPr>
        <w:t>中国内燃机学会</w:t>
      </w:r>
      <w:r>
        <w:rPr>
          <w:rFonts w:hint="eastAsia" w:ascii="黑体" w:hAnsi="黑体" w:eastAsia="黑体"/>
          <w:b w:val="0"/>
          <w:spacing w:val="0"/>
          <w:sz w:val="44"/>
          <w:szCs w:val="44"/>
        </w:rPr>
        <w:t xml:space="preserve">  </w:t>
      </w:r>
      <w:r>
        <w:rPr>
          <w:rFonts w:hint="eastAsia" w:ascii="黑体" w:hAnsi="黑体" w:eastAsia="黑体"/>
          <w:b w:val="0"/>
          <w:spacing w:val="0"/>
          <w:szCs w:val="28"/>
        </w:rPr>
        <w:t>发布</w:t>
      </w:r>
    </w:p>
    <w:bookmarkEnd w:id="0"/>
    <w:p>
      <w:pPr>
        <w:pStyle w:val="40"/>
        <w:ind w:firstLine="0" w:firstLineChars="0"/>
        <w:rPr>
          <w:rFonts w:hint="eastAsia" w:ascii="黑体" w:hAnsi="黑体" w:eastAsia="黑体"/>
          <w:szCs w:val="21"/>
        </w:rPr>
      </w:pPr>
      <w:r>
        <w:rPr>
          <w:rFonts w:ascii="黑体" w:hAnsi="黑体" w:eastAsia="黑体"/>
          <w:szCs w:val="21"/>
        </w:rPr>
        <w:t xml:space="preserve">ICS 27.020 </w:t>
      </w:r>
    </w:p>
    <w:p>
      <w:pPr>
        <w:pStyle w:val="47"/>
        <w:framePr w:h="1411" w:hRule="exact" w:wrap="around"/>
        <w:rPr>
          <w:rFonts w:hint="eastAsia" w:ascii="黑体" w:hAnsi="黑体" w:eastAsia="黑体"/>
          <w:b w:val="0"/>
          <w:spacing w:val="0"/>
          <w:w w:val="100"/>
          <w:sz w:val="84"/>
          <w:szCs w:val="84"/>
        </w:rPr>
      </w:pPr>
      <w:r>
        <w:rPr>
          <w:rFonts w:hint="eastAsia" w:ascii="黑体" w:hAnsi="黑体" w:eastAsia="黑体"/>
          <w:b w:val="0"/>
          <w:spacing w:val="0"/>
          <w:w w:val="100"/>
          <w:sz w:val="84"/>
          <w:szCs w:val="84"/>
        </w:rPr>
        <w:t>团体标准</w:t>
      </w:r>
    </w:p>
    <w:p>
      <w:pPr>
        <w:pStyle w:val="46"/>
        <w:framePr w:wrap="around" w:y="3481"/>
        <w:wordWrap w:val="0"/>
      </w:pPr>
      <w:r>
        <w:rPr>
          <w:rFonts w:hint="eastAsia" w:ascii="Times New Roman"/>
        </w:rPr>
        <w:t>T</w:t>
      </w:r>
      <w:r>
        <w:rPr>
          <w:rFonts w:ascii="Times New Roman"/>
        </w:rPr>
        <w:t xml:space="preserve">/CSICE </w:t>
      </w:r>
      <w:r>
        <w:rPr>
          <w:rFonts w:hint="eastAsia" w:ascii="Times New Roman"/>
        </w:rPr>
        <w:t>XXXX-</w:t>
      </w:r>
      <w:r>
        <w:rPr>
          <w:rFonts w:ascii="Times New Roman"/>
        </w:rPr>
        <w:t>202</w:t>
      </w:r>
      <w:r>
        <w:rPr>
          <w:rFonts w:hint="eastAsia" w:ascii="Times New Roman"/>
        </w:rPr>
        <w:t>X</w:t>
      </w:r>
    </w:p>
    <w:p>
      <w:pPr>
        <w:pStyle w:val="46"/>
        <w:framePr w:wrap="around" w:y="3481"/>
      </w:pPr>
    </w:p>
    <w:p>
      <w:pPr>
        <w:pStyle w:val="46"/>
        <w:framePr w:wrap="around" w:y="3481"/>
      </w:pPr>
    </w:p>
    <w:p>
      <w:pPr>
        <w:pStyle w:val="40"/>
        <w:ind w:firstLine="0" w:firstLineChars="0"/>
        <w:rPr>
          <w:rFonts w:hint="eastAsia" w:ascii="黑体" w:hAnsi="黑体" w:eastAsia="黑体"/>
          <w:szCs w:val="21"/>
        </w:rPr>
      </w:pPr>
      <w:r>
        <w:rPr>
          <w:rFonts w:ascii="黑体" w:hAnsi="黑体" w:eastAsia="黑体"/>
          <w:szCs w:val="21"/>
        </w:rPr>
        <w:t>CCS J 92</w:t>
      </w: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13970" t="12065" r="9525" b="6985"/>
                <wp:wrapNone/>
                <wp:docPr id="2"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3SaJLsgBAACgAwAADgAAAAAAAAABACAAAAAmAQAAZHJz&#10;L2Uyb0RvYy54bWxQSwUGAAAAAAYABgBZAQAAYAUAAAAA&#10;">
                <v:fill on="f" focussize="0,0"/>
                <v:stroke color="#000000" joinstyle="round"/>
                <v:imagedata o:title=""/>
                <o:lock v:ext="edit" aspectratio="f"/>
              </v:line>
            </w:pict>
          </mc:Fallback>
        </mc:AlternateContent>
      </w:r>
    </w:p>
    <w:p>
      <w:pPr>
        <w:pStyle w:val="40"/>
        <w:ind w:firstLine="0" w:firstLineChars="0"/>
        <w:rPr>
          <w:rFonts w:hint="eastAsia" w:ascii="黑体" w:hAnsi="黑体" w:eastAsia="黑体"/>
          <w:szCs w:val="21"/>
        </w:rPr>
        <w:sectPr>
          <w:pgSz w:w="11906" w:h="16838"/>
          <w:pgMar w:top="567" w:right="1134" w:bottom="1134" w:left="1418" w:header="1417" w:footer="1134" w:gutter="0"/>
          <w:cols w:space="425" w:num="1"/>
          <w:docGrid w:type="lines" w:linePitch="312" w:charSpace="0"/>
        </w:sectPr>
      </w:pPr>
      <w:r>
        <w:rPr>
          <w:rFonts w:ascii="黑体" w:hAnsi="黑体" w:eastAsia="黑体"/>
          <w:szCs w:val="21"/>
        </w:rP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3UVwTiAQAAqg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3gzAlLA7/7&#10;+uv2y/c/v7/ReffzB5skkXqPJeUu3CokmnLnrv0VyM/IHCw64VqVm73Ze0LIFcWDkmSgp6fW/Xuo&#10;KUdsImTFdk2wCZK0YLs8mP1pMGoXmSTn+YTUeU0zk8dYIcpjoQ8Y3ymwLF0qbrRLmolSbK8wUuuU&#10;ekxJbgeX2pg8d+NYX/G3Z9OzXIBgdJ2CKQ1Du16YwLYibU7+kg4E9iAtwMbVg984Ch95Doqtod6v&#10;QgonP40wAxzWLe3IfTtn/fvF5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YdrPNYAAAALAQAA&#10;DwAAAAAAAAABACAAAAAiAAAAZHJzL2Rvd25yZXYueG1sUEsBAhQAFAAAAAgAh07iQE3UVwTiAQAA&#10;qgMAAA4AAAAAAAAAAQAgAAAAJQEAAGRycy9lMm9Eb2MueG1sUEsFBgAAAAAGAAYAWQEAAHkFAAAA&#10;AA==&#10;">
                <v:fill on="f" focussize="0,0"/>
                <v:stroke color="#000000" joinstyle="round"/>
                <v:imagedata o:title=""/>
                <o:lock v:ext="edit" aspectratio="f"/>
                <w10:anchorlock/>
              </v:line>
            </w:pict>
          </mc:Fallback>
        </mc:AlternateContent>
      </w:r>
      <w:r>
        <w:rPr>
          <w:rFonts w:ascii="黑体" w:hAnsi="黑体" w:eastAsia="黑体"/>
          <w:szCs w:val="21"/>
        </w:rPr>
        <w:t xml:space="preserve"> </w:t>
      </w:r>
    </w:p>
    <w:p>
      <w:pPr>
        <w:pStyle w:val="40"/>
        <w:ind w:firstLine="0" w:firstLineChars="0"/>
        <w:sectPr>
          <w:headerReference r:id="rId3" w:type="default"/>
          <w:footerReference r:id="rId4" w:type="default"/>
          <w:pgSz w:w="11906" w:h="16838"/>
          <w:pgMar w:top="567" w:right="1134" w:bottom="1134" w:left="1418" w:header="1417" w:footer="1134" w:gutter="0"/>
          <w:cols w:space="425" w:num="1"/>
          <w:docGrid w:type="lines" w:linePitch="312" w:charSpace="0"/>
        </w:sectPr>
      </w:pPr>
    </w:p>
    <w:p>
      <w:pPr>
        <w:pStyle w:val="49"/>
        <w:tabs>
          <w:tab w:val="center" w:pos="4677"/>
          <w:tab w:val="right" w:pos="9354"/>
        </w:tabs>
      </w:pPr>
      <w:bookmarkStart w:id="1" w:name="_Toc197519389"/>
      <w:r>
        <w:rPr>
          <w:rFonts w:hint="eastAsia"/>
        </w:rPr>
        <w:t>前</w:t>
      </w:r>
      <w:r>
        <w:rPr>
          <w:rFonts w:hAnsi="黑体"/>
        </w:rPr>
        <w:t>  </w:t>
      </w:r>
      <w:r>
        <w:rPr>
          <w:rFonts w:hint="eastAsia"/>
        </w:rPr>
        <w:t>言</w:t>
      </w:r>
      <w:bookmarkEnd w:id="1"/>
    </w:p>
    <w:p>
      <w:pPr>
        <w:pStyle w:val="40"/>
      </w:pPr>
      <w:r>
        <w:rPr>
          <w:rFonts w:hint="eastAsia"/>
        </w:rPr>
        <w:t>本文件按照</w:t>
      </w:r>
      <w:r>
        <w:t>GB/T 1.1—2020《标准化工作导则  第1部分：标准化文件的结构和起草规则》的规定起草。</w:t>
      </w:r>
    </w:p>
    <w:p>
      <w:pPr>
        <w:pStyle w:val="40"/>
      </w:pPr>
      <w:r>
        <w:rPr>
          <w:rFonts w:hint="eastAsia"/>
        </w:rPr>
        <w:t>请注意本文件的某些内容可能涉及专利。本文件的发布机构不承担识别这些专利的责任。</w:t>
      </w:r>
    </w:p>
    <w:p>
      <w:pPr>
        <w:pStyle w:val="40"/>
      </w:pPr>
      <w:r>
        <w:rPr>
          <w:rFonts w:hint="eastAsia"/>
        </w:rPr>
        <w:t>本文件由中国内燃机学会标准管理部提出。</w:t>
      </w:r>
    </w:p>
    <w:p>
      <w:pPr>
        <w:pStyle w:val="40"/>
      </w:pPr>
      <w:r>
        <w:rPr>
          <w:rFonts w:hint="eastAsia"/>
        </w:rPr>
        <w:t>本文件由中国内燃机学会归口。</w:t>
      </w:r>
    </w:p>
    <w:p>
      <w:pPr>
        <w:pStyle w:val="40"/>
      </w:pPr>
      <w:r>
        <w:rPr>
          <w:rFonts w:hint="eastAsia"/>
        </w:rPr>
        <w:t>本文件起草单位：中国第一汽车股份公司无锡油泵油嘴研究所 泰科电子有限公司 长春市灯泡电线有限公司</w:t>
      </w:r>
    </w:p>
    <w:p>
      <w:pPr>
        <w:pStyle w:val="40"/>
        <w:rPr>
          <w:rFonts w:hint="eastAsia" w:eastAsia="宋体"/>
          <w:lang w:val="en-US" w:eastAsia="zh-CN"/>
        </w:rPr>
      </w:pPr>
      <w:r>
        <w:rPr>
          <w:rFonts w:hint="eastAsia"/>
        </w:rPr>
        <w:t>本文件主要起草人：张雷</w:t>
      </w:r>
      <w:r>
        <w:t xml:space="preserve"> 宋国民 陆召振 </w:t>
      </w:r>
      <w:r>
        <w:rPr>
          <w:rFonts w:hint="eastAsia"/>
          <w:lang w:val="en-US" w:eastAsia="zh-CN"/>
        </w:rPr>
        <w:t>赵岩</w:t>
      </w:r>
      <w:r>
        <w:t xml:space="preserve"> </w:t>
      </w:r>
      <w:r>
        <w:rPr>
          <w:rFonts w:hint="eastAsia"/>
        </w:rPr>
        <w:t>孙磊</w:t>
      </w:r>
      <w:r>
        <w:t xml:space="preserve"> 唐立群 </w:t>
      </w:r>
      <w:r>
        <w:rPr>
          <w:rFonts w:hint="eastAsia"/>
        </w:rPr>
        <w:t xml:space="preserve">胡海星 </w:t>
      </w:r>
      <w:r>
        <w:rPr>
          <w:rFonts w:hint="eastAsia"/>
          <w:lang w:val="en-US" w:eastAsia="zh-CN"/>
        </w:rPr>
        <w:t>周树艳</w:t>
      </w:r>
      <w:r>
        <w:t xml:space="preserve"> </w:t>
      </w:r>
      <w:r>
        <w:rPr>
          <w:rFonts w:hint="eastAsia"/>
        </w:rPr>
        <w:t xml:space="preserve">唐立峰 </w:t>
      </w:r>
      <w:r>
        <w:rPr>
          <w:rFonts w:hint="eastAsia"/>
          <w:lang w:val="en-US" w:eastAsia="zh-CN"/>
        </w:rPr>
        <w:t>杨琛</w:t>
      </w:r>
    </w:p>
    <w:p>
      <w:pPr>
        <w:pStyle w:val="40"/>
      </w:pPr>
      <w:r>
        <w:rPr>
          <w:rFonts w:hint="eastAsia"/>
        </w:rPr>
        <w:t>本文件为首次发布。</w:t>
      </w:r>
    </w:p>
    <w:p>
      <w:pPr>
        <w:pStyle w:val="40"/>
        <w:ind w:firstLine="0" w:firstLineChars="0"/>
      </w:pPr>
    </w:p>
    <w:p>
      <w:pPr>
        <w:widowControl/>
        <w:jc w:val="left"/>
        <w:rPr>
          <w:rFonts w:ascii="宋体" w:hAnsi="Times New Roman" w:eastAsia="宋体" w:cs="Times New Roman"/>
          <w:kern w:val="0"/>
          <w:szCs w:val="20"/>
        </w:rPr>
        <w:sectPr>
          <w:headerReference r:id="rId5" w:type="default"/>
          <w:footerReference r:id="rId6" w:type="default"/>
          <w:pgSz w:w="11906" w:h="16838"/>
          <w:pgMar w:top="567" w:right="1134" w:bottom="1134" w:left="1418" w:header="1417" w:footer="1134" w:gutter="0"/>
          <w:pgNumType w:fmt="upperRoman" w:start="1"/>
          <w:cols w:space="425" w:num="1"/>
          <w:docGrid w:type="lines" w:linePitch="312" w:charSpace="0"/>
        </w:sectPr>
      </w:pPr>
      <w:bookmarkStart w:id="310" w:name="_GoBack"/>
      <w:bookmarkEnd w:id="310"/>
    </w:p>
    <w:p>
      <w:pPr>
        <w:pStyle w:val="114"/>
        <w:spacing w:after="468"/>
      </w:pPr>
      <w:r>
        <w:rPr>
          <w:rFonts w:hint="eastAsia"/>
          <w:spacing w:val="320"/>
        </w:rPr>
        <w:t>目</w:t>
      </w:r>
      <w:r>
        <w:rPr>
          <w:rFonts w:hint="eastAsia"/>
        </w:rPr>
        <w:t>次</w:t>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"_Toc197519389" </w:instrText>
      </w:r>
      <w:r>
        <w:fldChar w:fldCharType="separate"/>
      </w:r>
      <w:r>
        <w:rPr>
          <w:rStyle w:val="36"/>
          <w:rFonts w:hint="eastAsia"/>
        </w:rPr>
        <w:t>前言</w:t>
      </w:r>
      <w:r>
        <w:tab/>
      </w:r>
      <w:r>
        <w:fldChar w:fldCharType="begin"/>
      </w:r>
      <w:r>
        <w:instrText xml:space="preserve"> PAGEREF _Toc197519389 \h </w:instrText>
      </w:r>
      <w:r>
        <w:fldChar w:fldCharType="separate"/>
      </w:r>
      <w:r>
        <w:t>I</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"_Toc197519390" </w:instrText>
      </w:r>
      <w:r>
        <w:fldChar w:fldCharType="separate"/>
      </w:r>
      <w:r>
        <w:rPr>
          <w:rStyle w:val="36"/>
        </w:rPr>
        <w:t>1</w:t>
      </w:r>
      <w:r>
        <w:rPr>
          <w:rStyle w:val="36"/>
          <w:rFonts w:hint="eastAsia"/>
        </w:rPr>
        <w:t xml:space="preserve"> 范围</w:t>
      </w:r>
      <w:r>
        <w:tab/>
      </w:r>
      <w:r>
        <w:fldChar w:fldCharType="begin"/>
      </w:r>
      <w:r>
        <w:instrText xml:space="preserve"> PAGEREF _Toc197519390 \h </w:instrText>
      </w:r>
      <w:r>
        <w:fldChar w:fldCharType="separate"/>
      </w:r>
      <w:r>
        <w:t>5</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"_Toc197519391" </w:instrText>
      </w:r>
      <w:r>
        <w:fldChar w:fldCharType="separate"/>
      </w:r>
      <w:r>
        <w:rPr>
          <w:rStyle w:val="36"/>
        </w:rPr>
        <w:t>2</w:t>
      </w:r>
      <w:r>
        <w:rPr>
          <w:rStyle w:val="36"/>
          <w:rFonts w:hint="eastAsia"/>
        </w:rPr>
        <w:t xml:space="preserve"> 规范性引用文件</w:t>
      </w:r>
      <w:r>
        <w:tab/>
      </w:r>
      <w:r>
        <w:fldChar w:fldCharType="begin"/>
      </w:r>
      <w:r>
        <w:instrText xml:space="preserve"> PAGEREF _Toc197519391 \h </w:instrText>
      </w:r>
      <w:r>
        <w:fldChar w:fldCharType="separate"/>
      </w:r>
      <w:r>
        <w:t>5</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"_Toc197519392" </w:instrText>
      </w:r>
      <w:r>
        <w:fldChar w:fldCharType="separate"/>
      </w:r>
      <w:r>
        <w:rPr>
          <w:rStyle w:val="36"/>
        </w:rPr>
        <w:t>3</w:t>
      </w:r>
      <w:r>
        <w:rPr>
          <w:rStyle w:val="36"/>
          <w:rFonts w:hint="eastAsia"/>
        </w:rPr>
        <w:t xml:space="preserve"> 术语和定义</w:t>
      </w:r>
      <w:r>
        <w:tab/>
      </w:r>
      <w:r>
        <w:fldChar w:fldCharType="begin"/>
      </w:r>
      <w:r>
        <w:instrText xml:space="preserve"> PAGEREF _Toc197519392 \h </w:instrText>
      </w:r>
      <w:r>
        <w:fldChar w:fldCharType="separate"/>
      </w:r>
      <w:r>
        <w:t>5</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"_Toc197519393" </w:instrText>
      </w:r>
      <w:r>
        <w:fldChar w:fldCharType="separate"/>
      </w:r>
      <w:r>
        <w:rPr>
          <w:rStyle w:val="36"/>
        </w:rPr>
        <w:t>4</w:t>
      </w:r>
      <w:r>
        <w:rPr>
          <w:rStyle w:val="36"/>
          <w:rFonts w:hint="eastAsia"/>
        </w:rPr>
        <w:t xml:space="preserve"> 技术要求</w:t>
      </w:r>
      <w:r>
        <w:tab/>
      </w:r>
      <w:r>
        <w:fldChar w:fldCharType="begin"/>
      </w:r>
      <w:r>
        <w:instrText xml:space="preserve"> PAGEREF _Toc197519393 \h </w:instrText>
      </w:r>
      <w:r>
        <w:fldChar w:fldCharType="separate"/>
      </w:r>
      <w:r>
        <w:t>7</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"_Toc197519394" </w:instrText>
      </w:r>
      <w:r>
        <w:fldChar w:fldCharType="separate"/>
      </w:r>
      <w:r>
        <w:rPr>
          <w:rStyle w:val="36"/>
        </w:rPr>
        <w:t>4.1</w:t>
      </w:r>
      <w:r>
        <w:rPr>
          <w:rStyle w:val="36"/>
          <w:rFonts w:hint="eastAsia"/>
        </w:rPr>
        <w:t xml:space="preserve"> 制造</w:t>
      </w:r>
      <w:r>
        <w:tab/>
      </w:r>
      <w:r>
        <w:fldChar w:fldCharType="begin"/>
      </w:r>
      <w:r>
        <w:instrText xml:space="preserve"> PAGEREF _Toc197519394 \h </w:instrText>
      </w:r>
      <w:r>
        <w:fldChar w:fldCharType="separate"/>
      </w:r>
      <w:r>
        <w:t>7</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"_Toc197519395" </w:instrText>
      </w:r>
      <w:r>
        <w:fldChar w:fldCharType="separate"/>
      </w:r>
      <w:r>
        <w:rPr>
          <w:rStyle w:val="36"/>
        </w:rPr>
        <w:t>4.2</w:t>
      </w:r>
      <w:r>
        <w:rPr>
          <w:rStyle w:val="36"/>
          <w:rFonts w:hint="eastAsia"/>
        </w:rPr>
        <w:t xml:space="preserve"> 尺寸</w:t>
      </w:r>
      <w:r>
        <w:tab/>
      </w:r>
      <w:r>
        <w:fldChar w:fldCharType="begin"/>
      </w:r>
      <w:r>
        <w:instrText xml:space="preserve"> PAGEREF _Toc197519395 \h </w:instrText>
      </w:r>
      <w:r>
        <w:fldChar w:fldCharType="separate"/>
      </w:r>
      <w:r>
        <w:t>7</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"_Toc197519396" </w:instrText>
      </w:r>
      <w:r>
        <w:fldChar w:fldCharType="separate"/>
      </w:r>
      <w:r>
        <w:rPr>
          <w:rStyle w:val="36"/>
        </w:rPr>
        <w:t>4.3</w:t>
      </w:r>
      <w:r>
        <w:rPr>
          <w:rStyle w:val="36"/>
          <w:rFonts w:hint="eastAsia"/>
        </w:rPr>
        <w:t xml:space="preserve"> 材料和零部件</w:t>
      </w:r>
      <w:r>
        <w:tab/>
      </w:r>
      <w:r>
        <w:fldChar w:fldCharType="begin"/>
      </w:r>
      <w:r>
        <w:instrText xml:space="preserve"> PAGEREF _Toc197519396 \h </w:instrText>
      </w:r>
      <w:r>
        <w:fldChar w:fldCharType="separate"/>
      </w:r>
      <w:r>
        <w:t>8</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"_Toc197519397" </w:instrText>
      </w:r>
      <w:r>
        <w:fldChar w:fldCharType="separate"/>
      </w:r>
      <w:r>
        <w:rPr>
          <w:rStyle w:val="36"/>
        </w:rPr>
        <w:t>4.4</w:t>
      </w:r>
      <w:r>
        <w:rPr>
          <w:rStyle w:val="36"/>
          <w:rFonts w:hint="eastAsia"/>
        </w:rPr>
        <w:t xml:space="preserve"> 端子与电线的连接</w:t>
      </w:r>
      <w:r>
        <w:tab/>
      </w:r>
      <w:r>
        <w:fldChar w:fldCharType="begin"/>
      </w:r>
      <w:r>
        <w:instrText xml:space="preserve"> PAGEREF _Toc197519397 \h </w:instrText>
      </w:r>
      <w:r>
        <w:fldChar w:fldCharType="separate"/>
      </w:r>
      <w:r>
        <w:t>8</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"_Toc197519398" </w:instrText>
      </w:r>
      <w:r>
        <w:fldChar w:fldCharType="separate"/>
      </w:r>
      <w:r>
        <w:rPr>
          <w:rStyle w:val="36"/>
        </w:rPr>
        <w:t>4.5</w:t>
      </w:r>
      <w:r>
        <w:rPr>
          <w:rStyle w:val="36"/>
          <w:rFonts w:hint="eastAsia"/>
        </w:rPr>
        <w:t xml:space="preserve"> 接点</w:t>
      </w:r>
      <w:r>
        <w:tab/>
      </w:r>
      <w:r>
        <w:fldChar w:fldCharType="begin"/>
      </w:r>
      <w:r>
        <w:instrText xml:space="preserve"> PAGEREF _Toc197519398 \h </w:instrText>
      </w:r>
      <w:r>
        <w:fldChar w:fldCharType="separate"/>
      </w:r>
      <w:r>
        <w:t>10</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"_Toc197519399" </w:instrText>
      </w:r>
      <w:r>
        <w:fldChar w:fldCharType="separate"/>
      </w:r>
      <w:r>
        <w:rPr>
          <w:rStyle w:val="36"/>
        </w:rPr>
        <w:t>4.6</w:t>
      </w:r>
      <w:r>
        <w:rPr>
          <w:rStyle w:val="36"/>
          <w:rFonts w:hint="eastAsia"/>
        </w:rPr>
        <w:t xml:space="preserve"> 密封塞的压接</w:t>
      </w:r>
      <w:r>
        <w:tab/>
      </w:r>
      <w:r>
        <w:fldChar w:fldCharType="begin"/>
      </w:r>
      <w:r>
        <w:instrText xml:space="preserve"> PAGEREF _Toc197519399 \h </w:instrText>
      </w:r>
      <w:r>
        <w:fldChar w:fldCharType="separate"/>
      </w:r>
      <w:r>
        <w:t>11</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"_Toc197519400" </w:instrText>
      </w:r>
      <w:r>
        <w:fldChar w:fldCharType="separate"/>
      </w:r>
      <w:r>
        <w:rPr>
          <w:rStyle w:val="36"/>
        </w:rPr>
        <w:t>4.7</w:t>
      </w:r>
      <w:r>
        <w:rPr>
          <w:rStyle w:val="36"/>
          <w:rFonts w:hint="eastAsia"/>
        </w:rPr>
        <w:t xml:space="preserve"> 包扎</w:t>
      </w:r>
      <w:r>
        <w:tab/>
      </w:r>
      <w:r>
        <w:fldChar w:fldCharType="begin"/>
      </w:r>
      <w:r>
        <w:instrText xml:space="preserve"> PAGEREF _Toc197519400 \h </w:instrText>
      </w:r>
      <w:r>
        <w:fldChar w:fldCharType="separate"/>
      </w:r>
      <w:r>
        <w:t>12</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"_Toc197519401" </w:instrText>
      </w:r>
      <w:r>
        <w:fldChar w:fldCharType="separate"/>
      </w:r>
      <w:r>
        <w:rPr>
          <w:rStyle w:val="36"/>
        </w:rPr>
        <w:t>4.8</w:t>
      </w:r>
      <w:r>
        <w:rPr>
          <w:rStyle w:val="36"/>
          <w:rFonts w:hint="eastAsia"/>
        </w:rPr>
        <w:t xml:space="preserve"> 绝缘热缩管的连接</w:t>
      </w:r>
      <w:r>
        <w:tab/>
      </w:r>
      <w:r>
        <w:fldChar w:fldCharType="begin"/>
      </w:r>
      <w:r>
        <w:instrText xml:space="preserve"> PAGEREF _Toc197519401 \h </w:instrText>
      </w:r>
      <w:r>
        <w:fldChar w:fldCharType="separate"/>
      </w:r>
      <w:r>
        <w:t>12</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"_Toc197519402" </w:instrText>
      </w:r>
      <w:r>
        <w:fldChar w:fldCharType="separate"/>
      </w:r>
      <w:r>
        <w:rPr>
          <w:rStyle w:val="36"/>
        </w:rPr>
        <w:t>4.9</w:t>
      </w:r>
      <w:r>
        <w:rPr>
          <w:rStyle w:val="36"/>
          <w:rFonts w:hint="eastAsia"/>
        </w:rPr>
        <w:t xml:space="preserve"> 电线及零部件的装配</w:t>
      </w:r>
      <w:r>
        <w:tab/>
      </w:r>
      <w:r>
        <w:fldChar w:fldCharType="begin"/>
      </w:r>
      <w:r>
        <w:instrText xml:space="preserve"> PAGEREF _Toc197519402 \h </w:instrText>
      </w:r>
      <w:r>
        <w:fldChar w:fldCharType="separate"/>
      </w:r>
      <w:r>
        <w:t>12</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"_Toc197519403" </w:instrText>
      </w:r>
      <w:r>
        <w:fldChar w:fldCharType="separate"/>
      </w:r>
      <w:r>
        <w:rPr>
          <w:rStyle w:val="36"/>
        </w:rPr>
        <w:t>4.10</w:t>
      </w:r>
      <w:r>
        <w:rPr>
          <w:rStyle w:val="36"/>
          <w:rFonts w:hint="eastAsia"/>
        </w:rPr>
        <w:t xml:space="preserve"> 导通</w:t>
      </w:r>
      <w:r>
        <w:tab/>
      </w:r>
      <w:r>
        <w:fldChar w:fldCharType="begin"/>
      </w:r>
      <w:r>
        <w:instrText xml:space="preserve"> PAGEREF _Toc197519403 \h </w:instrText>
      </w:r>
      <w:r>
        <w:fldChar w:fldCharType="separate"/>
      </w:r>
      <w:r>
        <w:t>12</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"_Toc197519404" </w:instrText>
      </w:r>
      <w:r>
        <w:fldChar w:fldCharType="separate"/>
      </w:r>
      <w:r>
        <w:rPr>
          <w:rStyle w:val="36"/>
        </w:rPr>
        <w:t>4.11</w:t>
      </w:r>
      <w:r>
        <w:rPr>
          <w:rStyle w:val="36"/>
          <w:rFonts w:hint="eastAsia"/>
        </w:rPr>
        <w:t xml:space="preserve"> 耐温性能</w:t>
      </w:r>
      <w:r>
        <w:tab/>
      </w:r>
      <w:r>
        <w:fldChar w:fldCharType="begin"/>
      </w:r>
      <w:r>
        <w:instrText xml:space="preserve"> PAGEREF _Toc197519404 \h </w:instrText>
      </w:r>
      <w:r>
        <w:fldChar w:fldCharType="separate"/>
      </w:r>
      <w:r>
        <w:t>12</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"_Toc197519405" </w:instrText>
      </w:r>
      <w:r>
        <w:fldChar w:fldCharType="separate"/>
      </w:r>
      <w:r>
        <w:rPr>
          <w:rStyle w:val="36"/>
        </w:rPr>
        <w:t>4.12</w:t>
      </w:r>
      <w:r>
        <w:rPr>
          <w:rStyle w:val="36"/>
          <w:rFonts w:hint="eastAsia"/>
        </w:rPr>
        <w:t xml:space="preserve"> 耐温度、湿度循环变化性能</w:t>
      </w:r>
      <w:r>
        <w:tab/>
      </w:r>
      <w:r>
        <w:fldChar w:fldCharType="begin"/>
      </w:r>
      <w:r>
        <w:instrText xml:space="preserve"> PAGEREF _Toc197519405 \h </w:instrText>
      </w:r>
      <w:r>
        <w:fldChar w:fldCharType="separate"/>
      </w:r>
      <w:r>
        <w:t>12</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"_Toc197519406" </w:instrText>
      </w:r>
      <w:r>
        <w:fldChar w:fldCharType="separate"/>
      </w:r>
      <w:r>
        <w:rPr>
          <w:rStyle w:val="36"/>
        </w:rPr>
        <w:t>4.13</w:t>
      </w:r>
      <w:r>
        <w:rPr>
          <w:rStyle w:val="36"/>
          <w:rFonts w:hint="eastAsia"/>
        </w:rPr>
        <w:t xml:space="preserve"> 耐振动性能</w:t>
      </w:r>
      <w:r>
        <w:tab/>
      </w:r>
      <w:r>
        <w:fldChar w:fldCharType="begin"/>
      </w:r>
      <w:r>
        <w:instrText xml:space="preserve"> PAGEREF _Toc197519406 \h </w:instrText>
      </w:r>
      <w:r>
        <w:fldChar w:fldCharType="separate"/>
      </w:r>
      <w:r>
        <w:t>13</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"_Toc197519407" </w:instrText>
      </w:r>
      <w:r>
        <w:fldChar w:fldCharType="separate"/>
      </w:r>
      <w:r>
        <w:rPr>
          <w:rStyle w:val="36"/>
        </w:rPr>
        <w:t>4.14</w:t>
      </w:r>
      <w:r>
        <w:rPr>
          <w:rStyle w:val="36"/>
          <w:rFonts w:hint="eastAsia"/>
        </w:rPr>
        <w:t xml:space="preserve"> 耐盐雾性能</w:t>
      </w:r>
      <w:r>
        <w:tab/>
      </w:r>
      <w:r>
        <w:fldChar w:fldCharType="begin"/>
      </w:r>
      <w:r>
        <w:instrText xml:space="preserve"> PAGEREF _Toc197519407 \h </w:instrText>
      </w:r>
      <w:r>
        <w:fldChar w:fldCharType="separate"/>
      </w:r>
      <w:r>
        <w:t>13</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"_Toc197519408" </w:instrText>
      </w:r>
      <w:r>
        <w:fldChar w:fldCharType="separate"/>
      </w:r>
      <w:r>
        <w:rPr>
          <w:rStyle w:val="36"/>
        </w:rPr>
        <w:t>4.15</w:t>
      </w:r>
      <w:r>
        <w:rPr>
          <w:rStyle w:val="36"/>
          <w:rFonts w:hint="eastAsia"/>
        </w:rPr>
        <w:t xml:space="preserve"> 耐工业溶剂性能</w:t>
      </w:r>
      <w:r>
        <w:tab/>
      </w:r>
      <w:r>
        <w:fldChar w:fldCharType="begin"/>
      </w:r>
      <w:r>
        <w:instrText xml:space="preserve"> PAGEREF _Toc197519408 \h </w:instrText>
      </w:r>
      <w:r>
        <w:fldChar w:fldCharType="separate"/>
      </w:r>
      <w:r>
        <w:t>13</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"_Toc197519409" </w:instrText>
      </w:r>
      <w:r>
        <w:fldChar w:fldCharType="separate"/>
      </w:r>
      <w:r>
        <w:rPr>
          <w:rStyle w:val="36"/>
        </w:rPr>
        <w:t>4.16</w:t>
      </w:r>
      <w:r>
        <w:rPr>
          <w:rStyle w:val="36"/>
          <w:rFonts w:hint="eastAsia"/>
        </w:rPr>
        <w:t xml:space="preserve"> 插接器或端子的连接</w:t>
      </w:r>
      <w:r>
        <w:tab/>
      </w:r>
      <w:r>
        <w:fldChar w:fldCharType="begin"/>
      </w:r>
      <w:r>
        <w:instrText xml:space="preserve"> PAGEREF _Toc197519409 \h </w:instrText>
      </w:r>
      <w:r>
        <w:fldChar w:fldCharType="separate"/>
      </w:r>
      <w:r>
        <w:t>13</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"_Toc197519410" </w:instrText>
      </w:r>
      <w:r>
        <w:fldChar w:fldCharType="separate"/>
      </w:r>
      <w:r>
        <w:rPr>
          <w:rStyle w:val="36"/>
        </w:rPr>
        <w:t>4.17</w:t>
      </w:r>
      <w:r>
        <w:rPr>
          <w:rStyle w:val="36"/>
          <w:rFonts w:hint="eastAsia"/>
        </w:rPr>
        <w:t xml:space="preserve"> 安装与固定</w:t>
      </w:r>
      <w:r>
        <w:tab/>
      </w:r>
      <w:r>
        <w:fldChar w:fldCharType="begin"/>
      </w:r>
      <w:r>
        <w:instrText xml:space="preserve"> PAGEREF _Toc197519410 \h </w:instrText>
      </w:r>
      <w:r>
        <w:fldChar w:fldCharType="separate"/>
      </w:r>
      <w:r>
        <w:t>13</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"_Toc197519411" </w:instrText>
      </w:r>
      <w:r>
        <w:fldChar w:fldCharType="separate"/>
      </w:r>
      <w:r>
        <w:rPr>
          <w:rStyle w:val="36"/>
        </w:rPr>
        <w:t>5</w:t>
      </w:r>
      <w:r>
        <w:rPr>
          <w:rStyle w:val="36"/>
          <w:rFonts w:hint="eastAsia"/>
        </w:rPr>
        <w:t xml:space="preserve"> 试验方法</w:t>
      </w:r>
      <w:r>
        <w:tab/>
      </w:r>
      <w:r>
        <w:fldChar w:fldCharType="begin"/>
      </w:r>
      <w:r>
        <w:instrText xml:space="preserve"> PAGEREF _Toc197519411 \h </w:instrText>
      </w:r>
      <w:r>
        <w:fldChar w:fldCharType="separate"/>
      </w:r>
      <w:r>
        <w:t>13</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"_Toc197519412" </w:instrText>
      </w:r>
      <w:r>
        <w:fldChar w:fldCharType="separate"/>
      </w:r>
      <w:r>
        <w:rPr>
          <w:rStyle w:val="36"/>
        </w:rPr>
        <w:t>5.1</w:t>
      </w:r>
      <w:r>
        <w:rPr>
          <w:rStyle w:val="36"/>
          <w:rFonts w:hint="eastAsia"/>
        </w:rPr>
        <w:t xml:space="preserve"> 试验条件</w:t>
      </w:r>
      <w:r>
        <w:tab/>
      </w:r>
      <w:r>
        <w:fldChar w:fldCharType="begin"/>
      </w:r>
      <w:r>
        <w:instrText xml:space="preserve"> PAGEREF _Toc197519412 \h </w:instrText>
      </w:r>
      <w:r>
        <w:fldChar w:fldCharType="separate"/>
      </w:r>
      <w:r>
        <w:t>13</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"_Toc197519413" </w:instrText>
      </w:r>
      <w:r>
        <w:fldChar w:fldCharType="separate"/>
      </w:r>
      <w:r>
        <w:rPr>
          <w:rStyle w:val="36"/>
        </w:rPr>
        <w:t>5.2</w:t>
      </w:r>
      <w:r>
        <w:rPr>
          <w:rStyle w:val="36"/>
          <w:rFonts w:hint="eastAsia"/>
        </w:rPr>
        <w:t xml:space="preserve"> 尺寸检测</w:t>
      </w:r>
      <w:r>
        <w:tab/>
      </w:r>
      <w:r>
        <w:fldChar w:fldCharType="begin"/>
      </w:r>
      <w:r>
        <w:instrText xml:space="preserve"> PAGEREF _Toc197519413 \h </w:instrText>
      </w:r>
      <w:r>
        <w:fldChar w:fldCharType="separate"/>
      </w:r>
      <w:r>
        <w:t>14</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"_Toc197519414" </w:instrText>
      </w:r>
      <w:r>
        <w:fldChar w:fldCharType="separate"/>
      </w:r>
      <w:r>
        <w:rPr>
          <w:rStyle w:val="36"/>
        </w:rPr>
        <w:t>5.3</w:t>
      </w:r>
      <w:r>
        <w:rPr>
          <w:rStyle w:val="36"/>
          <w:rFonts w:hint="eastAsia"/>
        </w:rPr>
        <w:t xml:space="preserve"> 外观检查</w:t>
      </w:r>
      <w:r>
        <w:tab/>
      </w:r>
      <w:r>
        <w:fldChar w:fldCharType="begin"/>
      </w:r>
      <w:r>
        <w:instrText xml:space="preserve"> PAGEREF _Toc197519414 \h </w:instrText>
      </w:r>
      <w:r>
        <w:fldChar w:fldCharType="separate"/>
      </w:r>
      <w:r>
        <w:t>14</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"_Toc197519415" </w:instrText>
      </w:r>
      <w:r>
        <w:fldChar w:fldCharType="separate"/>
      </w:r>
      <w:r>
        <w:rPr>
          <w:rStyle w:val="36"/>
        </w:rPr>
        <w:t>5.4</w:t>
      </w:r>
      <w:r>
        <w:rPr>
          <w:rStyle w:val="36"/>
          <w:rFonts w:hint="eastAsia"/>
        </w:rPr>
        <w:t xml:space="preserve"> 弯折试验</w:t>
      </w:r>
      <w:r>
        <w:tab/>
      </w:r>
      <w:r>
        <w:fldChar w:fldCharType="begin"/>
      </w:r>
      <w:r>
        <w:instrText xml:space="preserve"> PAGEREF _Toc197519415 \h </w:instrText>
      </w:r>
      <w:r>
        <w:fldChar w:fldCharType="separate"/>
      </w:r>
      <w:r>
        <w:t>14</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"_Toc197519416" </w:instrText>
      </w:r>
      <w:r>
        <w:fldChar w:fldCharType="separate"/>
      </w:r>
      <w:r>
        <w:rPr>
          <w:rStyle w:val="36"/>
        </w:rPr>
        <w:t>5.5</w:t>
      </w:r>
      <w:r>
        <w:rPr>
          <w:rStyle w:val="36"/>
          <w:rFonts w:hint="eastAsia"/>
        </w:rPr>
        <w:t xml:space="preserve"> 拉力试验</w:t>
      </w:r>
      <w:r>
        <w:tab/>
      </w:r>
      <w:r>
        <w:fldChar w:fldCharType="begin"/>
      </w:r>
      <w:r>
        <w:instrText xml:space="preserve"> PAGEREF _Toc197519416 \h </w:instrText>
      </w:r>
      <w:r>
        <w:fldChar w:fldCharType="separate"/>
      </w:r>
      <w:r>
        <w:t>14</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"_Toc197519417" </w:instrText>
      </w:r>
      <w:r>
        <w:fldChar w:fldCharType="separate"/>
      </w:r>
      <w:r>
        <w:rPr>
          <w:rStyle w:val="36"/>
        </w:rPr>
        <w:t>5.6</w:t>
      </w:r>
      <w:r>
        <w:rPr>
          <w:rStyle w:val="36"/>
          <w:rFonts w:hint="eastAsia"/>
        </w:rPr>
        <w:t xml:space="preserve"> 端子与导体压接和压接接点横断面检验</w:t>
      </w:r>
      <w:r>
        <w:tab/>
      </w:r>
      <w:r>
        <w:fldChar w:fldCharType="begin"/>
      </w:r>
      <w:r>
        <w:instrText xml:space="preserve"> PAGEREF _Toc197519417 \h </w:instrText>
      </w:r>
      <w:r>
        <w:fldChar w:fldCharType="separate"/>
      </w:r>
      <w:r>
        <w:t>14</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"_Toc197519418" </w:instrText>
      </w:r>
      <w:r>
        <w:fldChar w:fldCharType="separate"/>
      </w:r>
      <w:r>
        <w:rPr>
          <w:rStyle w:val="36"/>
        </w:rPr>
        <w:t>5.7</w:t>
      </w:r>
      <w:r>
        <w:rPr>
          <w:rStyle w:val="36"/>
          <w:rFonts w:hint="eastAsia"/>
        </w:rPr>
        <w:t xml:space="preserve"> 电压降试验</w:t>
      </w:r>
      <w:r>
        <w:tab/>
      </w:r>
      <w:r>
        <w:fldChar w:fldCharType="begin"/>
      </w:r>
      <w:r>
        <w:instrText xml:space="preserve"> PAGEREF _Toc197519418 \h </w:instrText>
      </w:r>
      <w:r>
        <w:fldChar w:fldCharType="separate"/>
      </w:r>
      <w:r>
        <w:t>15</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"_Toc197519419" </w:instrText>
      </w:r>
      <w:r>
        <w:fldChar w:fldCharType="separate"/>
      </w:r>
      <w:r>
        <w:rPr>
          <w:rStyle w:val="36"/>
        </w:rPr>
        <w:t>5.8</w:t>
      </w:r>
      <w:r>
        <w:rPr>
          <w:rStyle w:val="36"/>
          <w:rFonts w:hint="eastAsia"/>
        </w:rPr>
        <w:t xml:space="preserve"> 防水试验</w:t>
      </w:r>
      <w:r>
        <w:tab/>
      </w:r>
      <w:r>
        <w:fldChar w:fldCharType="begin"/>
      </w:r>
      <w:r>
        <w:instrText xml:space="preserve"> PAGEREF _Toc197519419 \h </w:instrText>
      </w:r>
      <w:r>
        <w:fldChar w:fldCharType="separate"/>
      </w:r>
      <w:r>
        <w:t>17</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"_Toc197519420" </w:instrText>
      </w:r>
      <w:r>
        <w:fldChar w:fldCharType="separate"/>
      </w:r>
      <w:r>
        <w:rPr>
          <w:rStyle w:val="36"/>
        </w:rPr>
        <w:t>5.9</w:t>
      </w:r>
      <w:r>
        <w:rPr>
          <w:rStyle w:val="36"/>
          <w:rFonts w:hint="eastAsia"/>
        </w:rPr>
        <w:t xml:space="preserve"> 线路检验</w:t>
      </w:r>
      <w:r>
        <w:tab/>
      </w:r>
      <w:r>
        <w:fldChar w:fldCharType="begin"/>
      </w:r>
      <w:r>
        <w:instrText xml:space="preserve"> PAGEREF _Toc197519420 \h </w:instrText>
      </w:r>
      <w:r>
        <w:fldChar w:fldCharType="separate"/>
      </w:r>
      <w:r>
        <w:t>17</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"_Toc197519421" </w:instrText>
      </w:r>
      <w:r>
        <w:fldChar w:fldCharType="separate"/>
      </w:r>
      <w:r>
        <w:rPr>
          <w:rStyle w:val="36"/>
        </w:rPr>
        <w:t>5.10</w:t>
      </w:r>
      <w:r>
        <w:rPr>
          <w:rStyle w:val="36"/>
          <w:rFonts w:hint="eastAsia"/>
        </w:rPr>
        <w:t xml:space="preserve"> 耐低温试验</w:t>
      </w:r>
      <w:r>
        <w:tab/>
      </w:r>
      <w:r>
        <w:fldChar w:fldCharType="begin"/>
      </w:r>
      <w:r>
        <w:instrText xml:space="preserve"> PAGEREF _Toc197519421 \h </w:instrText>
      </w:r>
      <w:r>
        <w:fldChar w:fldCharType="separate"/>
      </w:r>
      <w:r>
        <w:t>18</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"_Toc197519422" </w:instrText>
      </w:r>
      <w:r>
        <w:fldChar w:fldCharType="separate"/>
      </w:r>
      <w:r>
        <w:rPr>
          <w:rStyle w:val="36"/>
        </w:rPr>
        <w:t>5.11</w:t>
      </w:r>
      <w:r>
        <w:rPr>
          <w:rStyle w:val="36"/>
          <w:rFonts w:hint="eastAsia"/>
        </w:rPr>
        <w:t xml:space="preserve"> 耐高温试验</w:t>
      </w:r>
      <w:r>
        <w:tab/>
      </w:r>
      <w:r>
        <w:fldChar w:fldCharType="begin"/>
      </w:r>
      <w:r>
        <w:instrText xml:space="preserve"> PAGEREF _Toc197519422 \h </w:instrText>
      </w:r>
      <w:r>
        <w:fldChar w:fldCharType="separate"/>
      </w:r>
      <w:r>
        <w:t>18</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"_Toc197519423" </w:instrText>
      </w:r>
      <w:r>
        <w:fldChar w:fldCharType="separate"/>
      </w:r>
      <w:r>
        <w:rPr>
          <w:rStyle w:val="36"/>
        </w:rPr>
        <w:t>5.12</w:t>
      </w:r>
      <w:r>
        <w:rPr>
          <w:rStyle w:val="36"/>
          <w:rFonts w:hint="eastAsia"/>
        </w:rPr>
        <w:t xml:space="preserve"> 耐温度变化试验</w:t>
      </w:r>
      <w:r>
        <w:tab/>
      </w:r>
      <w:r>
        <w:fldChar w:fldCharType="begin"/>
      </w:r>
      <w:r>
        <w:instrText xml:space="preserve"> PAGEREF _Toc197519423 \h </w:instrText>
      </w:r>
      <w:r>
        <w:fldChar w:fldCharType="separate"/>
      </w:r>
      <w:r>
        <w:t>18</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"_Toc197519424" </w:instrText>
      </w:r>
      <w:r>
        <w:fldChar w:fldCharType="separate"/>
      </w:r>
      <w:r>
        <w:rPr>
          <w:rStyle w:val="36"/>
        </w:rPr>
        <w:t>5.13</w:t>
      </w:r>
      <w:r>
        <w:rPr>
          <w:rStyle w:val="36"/>
          <w:rFonts w:hint="eastAsia"/>
        </w:rPr>
        <w:t xml:space="preserve"> 耐温度、湿度循环变化试验</w:t>
      </w:r>
      <w:r>
        <w:tab/>
      </w:r>
      <w:r>
        <w:fldChar w:fldCharType="begin"/>
      </w:r>
      <w:r>
        <w:instrText xml:space="preserve"> PAGEREF _Toc197519424 \h </w:instrText>
      </w:r>
      <w:r>
        <w:fldChar w:fldCharType="separate"/>
      </w:r>
      <w:r>
        <w:t>18</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"_Toc197519425" </w:instrText>
      </w:r>
      <w:r>
        <w:fldChar w:fldCharType="separate"/>
      </w:r>
      <w:r>
        <w:rPr>
          <w:rStyle w:val="36"/>
        </w:rPr>
        <w:t>5.14</w:t>
      </w:r>
      <w:r>
        <w:rPr>
          <w:rStyle w:val="36"/>
          <w:rFonts w:hint="eastAsia"/>
        </w:rPr>
        <w:t xml:space="preserve"> 耐振动试验</w:t>
      </w:r>
      <w:r>
        <w:tab/>
      </w:r>
      <w:r>
        <w:fldChar w:fldCharType="begin"/>
      </w:r>
      <w:r>
        <w:instrText xml:space="preserve"> PAGEREF _Toc197519425 \h </w:instrText>
      </w:r>
      <w:r>
        <w:fldChar w:fldCharType="separate"/>
      </w:r>
      <w:r>
        <w:t>18</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"_Toc197519426" </w:instrText>
      </w:r>
      <w:r>
        <w:fldChar w:fldCharType="separate"/>
      </w:r>
      <w:r>
        <w:rPr>
          <w:rStyle w:val="36"/>
        </w:rPr>
        <w:t>5.15</w:t>
      </w:r>
      <w:r>
        <w:rPr>
          <w:rStyle w:val="36"/>
          <w:rFonts w:hint="eastAsia"/>
        </w:rPr>
        <w:t xml:space="preserve"> 耐盐雾试验</w:t>
      </w:r>
      <w:r>
        <w:tab/>
      </w:r>
      <w:r>
        <w:fldChar w:fldCharType="begin"/>
      </w:r>
      <w:r>
        <w:instrText xml:space="preserve"> PAGEREF _Toc197519426 \h </w:instrText>
      </w:r>
      <w:r>
        <w:fldChar w:fldCharType="separate"/>
      </w:r>
      <w:r>
        <w:t>18</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"_Toc197519427" </w:instrText>
      </w:r>
      <w:r>
        <w:fldChar w:fldCharType="separate"/>
      </w:r>
      <w:r>
        <w:rPr>
          <w:rStyle w:val="36"/>
        </w:rPr>
        <w:t>5.16</w:t>
      </w:r>
      <w:r>
        <w:rPr>
          <w:rStyle w:val="36"/>
          <w:rFonts w:hint="eastAsia"/>
        </w:rPr>
        <w:t xml:space="preserve"> 耐工业溶剂试验</w:t>
      </w:r>
      <w:r>
        <w:tab/>
      </w:r>
      <w:r>
        <w:fldChar w:fldCharType="begin"/>
      </w:r>
      <w:r>
        <w:instrText xml:space="preserve"> PAGEREF _Toc197519427 \h </w:instrText>
      </w:r>
      <w:r>
        <w:fldChar w:fldCharType="separate"/>
      </w:r>
      <w:r>
        <w:t>18</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"_Toc197519428" </w:instrText>
      </w:r>
      <w:r>
        <w:fldChar w:fldCharType="separate"/>
      </w:r>
      <w:r>
        <w:rPr>
          <w:rStyle w:val="36"/>
        </w:rPr>
        <w:t>5.17</w:t>
      </w:r>
      <w:r>
        <w:rPr>
          <w:rStyle w:val="36"/>
          <w:rFonts w:hint="eastAsia"/>
        </w:rPr>
        <w:t xml:space="preserve"> 缸内渗油试验</w:t>
      </w:r>
      <w:r>
        <w:tab/>
      </w:r>
      <w:r>
        <w:fldChar w:fldCharType="begin"/>
      </w:r>
      <w:r>
        <w:instrText xml:space="preserve"> PAGEREF _Toc197519428 \h </w:instrText>
      </w:r>
      <w:r>
        <w:fldChar w:fldCharType="separate"/>
      </w:r>
      <w:r>
        <w:t>19</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"_Toc197519429" </w:instrText>
      </w:r>
      <w:r>
        <w:fldChar w:fldCharType="separate"/>
      </w:r>
      <w:r>
        <w:rPr>
          <w:rStyle w:val="36"/>
        </w:rPr>
        <w:t>6</w:t>
      </w:r>
      <w:r>
        <w:rPr>
          <w:rStyle w:val="36"/>
          <w:rFonts w:hint="eastAsia"/>
        </w:rPr>
        <w:t xml:space="preserve"> 检验规则</w:t>
      </w:r>
      <w:r>
        <w:tab/>
      </w:r>
      <w:r>
        <w:fldChar w:fldCharType="begin"/>
      </w:r>
      <w:r>
        <w:instrText xml:space="preserve"> PAGEREF _Toc197519429 \h </w:instrText>
      </w:r>
      <w:r>
        <w:fldChar w:fldCharType="separate"/>
      </w:r>
      <w:r>
        <w:t>19</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"_Toc197519430" </w:instrText>
      </w:r>
      <w:r>
        <w:fldChar w:fldCharType="separate"/>
      </w:r>
      <w:r>
        <w:rPr>
          <w:rStyle w:val="36"/>
        </w:rPr>
        <w:t>7</w:t>
      </w:r>
      <w:r>
        <w:rPr>
          <w:rStyle w:val="36"/>
          <w:rFonts w:hint="eastAsia"/>
        </w:rPr>
        <w:t xml:space="preserve"> 标志、包装、运输和贮存</w:t>
      </w:r>
      <w:r>
        <w:tab/>
      </w:r>
      <w:r>
        <w:fldChar w:fldCharType="begin"/>
      </w:r>
      <w:r>
        <w:instrText xml:space="preserve"> PAGEREF _Toc197519430 \h </w:instrText>
      </w:r>
      <w:r>
        <w:fldChar w:fldCharType="separate"/>
      </w:r>
      <w:r>
        <w:t>21</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"_Toc197519431" </w:instrText>
      </w:r>
      <w:r>
        <w:fldChar w:fldCharType="separate"/>
      </w:r>
      <w:r>
        <w:rPr>
          <w:rStyle w:val="36"/>
        </w:rPr>
        <w:t>7.1</w:t>
      </w:r>
      <w:r>
        <w:rPr>
          <w:rStyle w:val="36"/>
          <w:rFonts w:hint="eastAsia"/>
        </w:rPr>
        <w:t xml:space="preserve"> 标志</w:t>
      </w:r>
      <w:r>
        <w:tab/>
      </w:r>
      <w:r>
        <w:fldChar w:fldCharType="begin"/>
      </w:r>
      <w:r>
        <w:instrText xml:space="preserve"> PAGEREF _Toc197519431 \h </w:instrText>
      </w:r>
      <w:r>
        <w:fldChar w:fldCharType="separate"/>
      </w:r>
      <w:r>
        <w:t>21</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"_Toc197519432" </w:instrText>
      </w:r>
      <w:r>
        <w:fldChar w:fldCharType="separate"/>
      </w:r>
      <w:r>
        <w:rPr>
          <w:rStyle w:val="36"/>
        </w:rPr>
        <w:t>7.2</w:t>
      </w:r>
      <w:r>
        <w:rPr>
          <w:rStyle w:val="36"/>
          <w:rFonts w:hint="eastAsia"/>
        </w:rPr>
        <w:t xml:space="preserve"> 包装</w:t>
      </w:r>
      <w:r>
        <w:tab/>
      </w:r>
      <w:r>
        <w:fldChar w:fldCharType="begin"/>
      </w:r>
      <w:r>
        <w:instrText xml:space="preserve"> PAGEREF _Toc197519432 \h </w:instrText>
      </w:r>
      <w:r>
        <w:fldChar w:fldCharType="separate"/>
      </w:r>
      <w:r>
        <w:t>22</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"_Toc197519433" </w:instrText>
      </w:r>
      <w:r>
        <w:fldChar w:fldCharType="separate"/>
      </w:r>
      <w:r>
        <w:rPr>
          <w:rStyle w:val="36"/>
        </w:rPr>
        <w:t>7.3</w:t>
      </w:r>
      <w:r>
        <w:rPr>
          <w:rStyle w:val="36"/>
          <w:rFonts w:hint="eastAsia"/>
        </w:rPr>
        <w:t xml:space="preserve"> 运输</w:t>
      </w:r>
      <w:r>
        <w:tab/>
      </w:r>
      <w:r>
        <w:fldChar w:fldCharType="begin"/>
      </w:r>
      <w:r>
        <w:instrText xml:space="preserve"> PAGEREF _Toc197519433 \h </w:instrText>
      </w:r>
      <w:r>
        <w:fldChar w:fldCharType="separate"/>
      </w:r>
      <w:r>
        <w:t>22</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"_Toc197519434" </w:instrText>
      </w:r>
      <w:r>
        <w:fldChar w:fldCharType="separate"/>
      </w:r>
      <w:r>
        <w:rPr>
          <w:rStyle w:val="36"/>
        </w:rPr>
        <w:t>7.4</w:t>
      </w:r>
      <w:r>
        <w:rPr>
          <w:rStyle w:val="36"/>
          <w:rFonts w:hint="eastAsia"/>
        </w:rPr>
        <w:t xml:space="preserve"> 贮存</w:t>
      </w:r>
      <w:r>
        <w:tab/>
      </w:r>
      <w:r>
        <w:fldChar w:fldCharType="begin"/>
      </w:r>
      <w:r>
        <w:instrText xml:space="preserve"> PAGEREF _Toc197519434 \h </w:instrText>
      </w:r>
      <w:r>
        <w:fldChar w:fldCharType="separate"/>
      </w:r>
      <w:r>
        <w:t>22</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"_Toc197519435" </w:instrText>
      </w:r>
      <w:r>
        <w:fldChar w:fldCharType="separate"/>
      </w:r>
      <w:r>
        <w:rPr>
          <w:rStyle w:val="36"/>
          <w:rFonts w:hint="eastAsia"/>
          <w:spacing w:val="100"/>
        </w:rPr>
        <w:t>附录A</w:t>
      </w:r>
      <w:r>
        <w:rPr>
          <w:rStyle w:val="36"/>
          <w:rFonts w:hint="eastAsia"/>
        </w:rPr>
        <w:t xml:space="preserve"> （规范性）</w:t>
      </w:r>
      <w:r>
        <w:rPr>
          <w:rStyle w:val="36"/>
        </w:rPr>
        <w:t xml:space="preserve"> </w:t>
      </w:r>
      <w:r>
        <w:rPr>
          <w:rStyle w:val="36"/>
          <w:rFonts w:hint="eastAsia"/>
        </w:rPr>
        <w:t>端子与电线导体压接处和压接接点处横断面的要求</w:t>
      </w:r>
      <w:r>
        <w:tab/>
      </w:r>
      <w:r>
        <w:fldChar w:fldCharType="begin"/>
      </w:r>
      <w:r>
        <w:instrText xml:space="preserve"> PAGEREF _Toc197519435 \h </w:instrText>
      </w:r>
      <w:r>
        <w:fldChar w:fldCharType="separate"/>
      </w:r>
      <w:r>
        <w:t>23</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"_Toc197519436" </w:instrText>
      </w:r>
      <w:r>
        <w:fldChar w:fldCharType="separate"/>
      </w:r>
      <w:r>
        <w:rPr>
          <w:rStyle w:val="36"/>
        </w:rPr>
        <w:t>A.1</w:t>
      </w:r>
      <w:r>
        <w:rPr>
          <w:rStyle w:val="36"/>
          <w:rFonts w:hint="eastAsia"/>
        </w:rPr>
        <w:t xml:space="preserve"> 横断面要求</w:t>
      </w:r>
      <w:r>
        <w:tab/>
      </w:r>
      <w:r>
        <w:fldChar w:fldCharType="begin"/>
      </w:r>
      <w:r>
        <w:instrText xml:space="preserve"> PAGEREF _Toc197519436 \h </w:instrText>
      </w:r>
      <w:r>
        <w:fldChar w:fldCharType="separate"/>
      </w:r>
      <w:r>
        <w:t>23</w:t>
      </w:r>
      <w:r>
        <w:fldChar w:fldCharType="end"/>
      </w:r>
      <w:r>
        <w:fldChar w:fldCharType="end"/>
      </w:r>
    </w:p>
    <w:p>
      <w:pPr>
        <w:pStyle w:val="26"/>
        <w:rPr>
          <w:rFonts w:hint="eastAsia" w:asciiTheme="minorHAnsi" w:hAnsiTheme="minorHAnsi" w:eastAsiaTheme="minorEastAsia" w:cstheme="minorBidi"/>
          <w:szCs w:val="22"/>
        </w:rPr>
      </w:pPr>
      <w:r>
        <w:fldChar w:fldCharType="begin"/>
      </w:r>
      <w:r>
        <w:instrText xml:space="preserve"> HYPERLINK \l "_Toc197519437" </w:instrText>
      </w:r>
      <w:r>
        <w:fldChar w:fldCharType="separate"/>
      </w:r>
      <w:r>
        <w:rPr>
          <w:rStyle w:val="36"/>
        </w:rPr>
        <w:t>A.2</w:t>
      </w:r>
      <w:r>
        <w:rPr>
          <w:rStyle w:val="36"/>
          <w:rFonts w:hint="eastAsia"/>
        </w:rPr>
        <w:t xml:space="preserve"> 横断面不允许存在的缺陷</w:t>
      </w:r>
      <w:r>
        <w:tab/>
      </w:r>
      <w:r>
        <w:fldChar w:fldCharType="begin"/>
      </w:r>
      <w:r>
        <w:instrText xml:space="preserve"> PAGEREF _Toc197519437 \h </w:instrText>
      </w:r>
      <w:r>
        <w:fldChar w:fldCharType="separate"/>
      </w:r>
      <w:r>
        <w:t>24</w:t>
      </w:r>
      <w:r>
        <w:fldChar w:fldCharType="end"/>
      </w:r>
      <w:r>
        <w:fldChar w:fldCharType="end"/>
      </w:r>
    </w:p>
    <w:p>
      <w:pPr>
        <w:pStyle w:val="80"/>
        <w:spacing w:line="300" w:lineRule="exact"/>
        <w:ind w:firstLine="0" w:firstLineChars="0"/>
      </w:pPr>
      <w:r>
        <w:fldChar w:fldCharType="end"/>
      </w:r>
      <w:bookmarkStart w:id="2" w:name="muci"/>
      <w:bookmarkEnd w:id="2"/>
    </w:p>
    <w:p>
      <w:pPr>
        <w:widowControl/>
        <w:jc w:val="left"/>
        <w:rPr>
          <w:rFonts w:ascii="宋体" w:hAnsi="Times New Roman" w:eastAsia="宋体" w:cs="Times New Roman"/>
          <w:kern w:val="0"/>
          <w:szCs w:val="20"/>
        </w:rPr>
        <w:sectPr>
          <w:headerReference r:id="rId7" w:type="default"/>
          <w:footerReference r:id="rId8" w:type="default"/>
          <w:pgSz w:w="11906" w:h="16838"/>
          <w:pgMar w:top="567" w:right="1134" w:bottom="1134" w:left="1418" w:header="1417" w:footer="1134" w:gutter="0"/>
          <w:cols w:space="425" w:num="1"/>
          <w:docGrid w:type="lines" w:linePitch="312" w:charSpace="0"/>
        </w:sectPr>
      </w:pPr>
    </w:p>
    <w:sdt>
      <w:sdtPr>
        <w:tag w:val="NEW_STAND_NAME"/>
        <w:id w:val="595910757"/>
        <w:placeholder>
          <w:docPart w:val="6669B6FDA14E4282BC484AFF1EC1422C"/>
        </w:placeholder>
      </w:sdtPr>
      <w:sdtContent>
        <w:p>
          <w:pPr>
            <w:pStyle w:val="196"/>
            <w:spacing w:before="312" w:beforeLines="100" w:after="686" w:afterLines="220"/>
            <w:rPr>
              <w:rFonts w:hint="eastAsia"/>
            </w:rPr>
          </w:pPr>
          <w:bookmarkStart w:id="3" w:name="NEW_STAND_NAME"/>
          <w:r>
            <w:rPr>
              <w:rFonts w:hint="eastAsia"/>
            </w:rPr>
            <w:t>柴油机电控共轨系统</w:t>
          </w:r>
          <w:r>
            <w:t xml:space="preserve">  线束部件</w:t>
          </w:r>
        </w:p>
      </w:sdtContent>
    </w:sdt>
    <w:bookmarkEnd w:id="3"/>
    <w:p>
      <w:pPr>
        <w:pStyle w:val="126"/>
        <w:spacing w:before="312" w:after="312"/>
      </w:pPr>
      <w:bookmarkStart w:id="4" w:name="_Toc109042108"/>
      <w:bookmarkStart w:id="5" w:name="_Toc24884211"/>
      <w:bookmarkStart w:id="6" w:name="_Toc26986530"/>
      <w:bookmarkStart w:id="7" w:name="_Toc17233333"/>
      <w:bookmarkStart w:id="8" w:name="_Toc108944361"/>
      <w:bookmarkStart w:id="9" w:name="_Toc31365"/>
      <w:bookmarkStart w:id="10" w:name="_Toc108905442"/>
      <w:bookmarkStart w:id="11" w:name="_Toc26648465"/>
      <w:bookmarkStart w:id="12" w:name="_Toc17233325"/>
      <w:bookmarkStart w:id="13" w:name="_Toc108908219"/>
      <w:bookmarkStart w:id="14" w:name="_Toc26718930"/>
      <w:bookmarkStart w:id="15" w:name="_Toc132310204"/>
      <w:bookmarkStart w:id="16" w:name="_Toc197519390"/>
      <w:bookmarkStart w:id="17" w:name="_Toc24884218"/>
      <w:bookmarkStart w:id="18" w:name="_Toc26986771"/>
      <w:r>
        <w:rPr>
          <w:rFonts w:hint="eastAsia"/>
        </w:rP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80"/>
        <w:ind w:firstLine="420"/>
      </w:pPr>
      <w:bookmarkStart w:id="19" w:name="_Toc24884219"/>
      <w:bookmarkStart w:id="20" w:name="_Toc24884212"/>
      <w:bookmarkStart w:id="21" w:name="_Toc26648466"/>
      <w:bookmarkStart w:id="22" w:name="_Toc17233326"/>
      <w:bookmarkStart w:id="23" w:name="_Toc17233334"/>
      <w:r>
        <w:rPr>
          <w:rFonts w:ascii="Arial" w:hAnsi="Arial" w:cs="Arial"/>
        </w:rPr>
        <w:t>本</w:t>
      </w:r>
      <w:r>
        <w:rPr>
          <w:rFonts w:hint="eastAsia" w:ascii="Arial" w:hAnsi="Arial" w:cs="Arial"/>
        </w:rPr>
        <w:t>文件</w:t>
      </w:r>
      <w:r>
        <w:rPr>
          <w:rFonts w:ascii="Arial" w:hAnsi="Arial" w:cs="Arial"/>
        </w:rPr>
        <w:t>规定了柴油机电控共轨系统线束部件 (以下简称电线束)的术语和定义、技术要求、试验方法、检验规则、标志、包装、运输和贮存。</w:t>
      </w:r>
    </w:p>
    <w:p>
      <w:pPr>
        <w:pStyle w:val="80"/>
        <w:ind w:firstLine="420"/>
      </w:pPr>
      <w:r>
        <w:rPr>
          <w:rFonts w:ascii="Arial" w:hAnsi="Arial" w:cs="Arial"/>
        </w:rPr>
        <w:t>本</w:t>
      </w:r>
      <w:r>
        <w:rPr>
          <w:rFonts w:hint="eastAsia" w:ascii="Arial" w:hAnsi="Arial" w:cs="Arial"/>
        </w:rPr>
        <w:t>文件</w:t>
      </w:r>
      <w:r>
        <w:rPr>
          <w:rFonts w:ascii="Arial" w:hAnsi="Arial" w:cs="Arial"/>
        </w:rPr>
        <w:t>适用于柴油机电控共轨系统线束部件</w:t>
      </w:r>
      <w:r>
        <w:rPr>
          <w:rFonts w:hint="eastAsia" w:ascii="Arial" w:hAnsi="Arial" w:cs="Arial"/>
        </w:rPr>
        <w:t>的设计制造</w:t>
      </w:r>
      <w:r>
        <w:rPr>
          <w:rFonts w:ascii="Arial" w:hAnsi="Arial" w:cs="Arial"/>
        </w:rPr>
        <w:t>。</w:t>
      </w:r>
    </w:p>
    <w:p>
      <w:pPr>
        <w:pStyle w:val="126"/>
        <w:spacing w:before="312" w:after="312"/>
      </w:pPr>
      <w:bookmarkStart w:id="24" w:name="_Toc26986772"/>
      <w:bookmarkStart w:id="25" w:name="_Toc26986531"/>
      <w:bookmarkStart w:id="26" w:name="_Toc108908220"/>
      <w:bookmarkStart w:id="27" w:name="_Toc26718931"/>
      <w:bookmarkStart w:id="28" w:name="_Toc108905443"/>
      <w:bookmarkStart w:id="29" w:name="_Toc14125"/>
      <w:bookmarkStart w:id="30" w:name="_Toc132310205"/>
      <w:bookmarkStart w:id="31" w:name="_Toc108944362"/>
      <w:bookmarkStart w:id="32" w:name="_Toc197519391"/>
      <w:bookmarkStart w:id="33" w:name="_Toc109042109"/>
      <w:r>
        <w:rPr>
          <w:rFonts w:hint="eastAsia"/>
        </w:rPr>
        <w:t>规范性引用文件</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dt>
      <w:sdtPr>
        <w:rPr>
          <w:rFonts w:hint="eastAsia"/>
        </w:rPr>
        <w:id w:val="715848253"/>
        <w:placeholder>
          <w:docPart w:val="67A542DB21534164A8B99FDABA24B47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8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80"/>
        <w:ind w:firstLine="420"/>
      </w:pPr>
      <w:r>
        <w:t>GB/T 2828.1</w:t>
      </w:r>
      <w:r>
        <w:rPr>
          <w:rFonts w:hint="eastAsia"/>
        </w:rPr>
        <w:t xml:space="preserve">  </w:t>
      </w:r>
      <w:r>
        <w:t>计数抽样检验程序 第1部分：按接收质量限(AQL)检索的逐批检验抽样计划</w:t>
      </w:r>
    </w:p>
    <w:p>
      <w:pPr>
        <w:pStyle w:val="80"/>
        <w:ind w:firstLine="420"/>
      </w:pPr>
      <w:r>
        <w:t>GB 4208</w:t>
      </w:r>
      <w:r>
        <w:rPr>
          <w:rFonts w:hint="eastAsia"/>
        </w:rPr>
        <w:t xml:space="preserve">  </w:t>
      </w:r>
      <w:r>
        <w:t>外壳防护等级（IP代码）</w:t>
      </w:r>
    </w:p>
    <w:p>
      <w:pPr>
        <w:pStyle w:val="80"/>
        <w:ind w:firstLine="420"/>
      </w:pPr>
      <w:r>
        <w:t>GB/T 9330</w:t>
      </w:r>
      <w:r>
        <w:rPr>
          <w:rFonts w:hint="eastAsia"/>
        </w:rPr>
        <w:t xml:space="preserve">-2020  </w:t>
      </w:r>
      <w:r>
        <w:t xml:space="preserve">塑料绝缘控制电缆 </w:t>
      </w:r>
    </w:p>
    <w:p>
      <w:pPr>
        <w:pStyle w:val="80"/>
        <w:ind w:firstLine="420"/>
      </w:pPr>
      <w:r>
        <w:t>GB 11122</w:t>
      </w:r>
      <w:r>
        <w:rPr>
          <w:rFonts w:hint="eastAsia"/>
        </w:rPr>
        <w:t xml:space="preserve">  </w:t>
      </w:r>
      <w:r>
        <w:t>柴油机油</w:t>
      </w:r>
    </w:p>
    <w:p>
      <w:pPr>
        <w:pStyle w:val="80"/>
        <w:ind w:firstLine="420"/>
      </w:pPr>
      <w:r>
        <w:t>GB/T 19147</w:t>
      </w:r>
      <w:r>
        <w:rPr>
          <w:rFonts w:hint="eastAsia"/>
        </w:rPr>
        <w:t xml:space="preserve">  </w:t>
      </w:r>
      <w:r>
        <w:t>车用柴油</w:t>
      </w:r>
    </w:p>
    <w:p>
      <w:pPr>
        <w:pStyle w:val="80"/>
        <w:ind w:left="420" w:leftChars="200" w:firstLine="0" w:firstLineChars="0"/>
      </w:pPr>
      <w:r>
        <w:t>GB/T 20631.1</w:t>
      </w:r>
      <w:r>
        <w:rPr>
          <w:rFonts w:hint="eastAsia"/>
        </w:rPr>
        <w:t xml:space="preserve">-2006  </w:t>
      </w:r>
      <w:r>
        <w:t>电气用压敏胶粘带 第1部分：一般要求</w:t>
      </w:r>
      <w:r>
        <w:br w:type="textWrapping"/>
      </w:r>
      <w:r>
        <w:t>GB/T 25085</w:t>
      </w:r>
      <w:r>
        <w:rPr>
          <w:rFonts w:hint="eastAsia"/>
        </w:rPr>
        <w:t xml:space="preserve">  道路车辆 60V和600V单芯电线</w:t>
      </w:r>
    </w:p>
    <w:p>
      <w:pPr>
        <w:pStyle w:val="80"/>
        <w:ind w:firstLine="420"/>
      </w:pPr>
      <w:r>
        <w:t>GB/T 28046.3</w:t>
      </w:r>
      <w:r>
        <w:rPr>
          <w:rFonts w:hint="eastAsia"/>
        </w:rPr>
        <w:t xml:space="preserve">  </w:t>
      </w:r>
      <w:r>
        <w:t>道路车辆 电气及电子设备的环境条件和试验 第3部分：机械负荷</w:t>
      </w:r>
    </w:p>
    <w:p>
      <w:pPr>
        <w:pStyle w:val="80"/>
        <w:ind w:left="420" w:leftChars="200" w:firstLine="0" w:firstLineChars="0"/>
      </w:pPr>
      <w:r>
        <w:t>GB/T 28046.4</w:t>
      </w:r>
      <w:r>
        <w:rPr>
          <w:rFonts w:hint="eastAsia"/>
        </w:rPr>
        <w:t xml:space="preserve">  </w:t>
      </w:r>
      <w:r>
        <w:t>道路车辆 电气及电子设备的环境条件和试验 第4部分：气候负荷</w:t>
      </w:r>
    </w:p>
    <w:p>
      <w:pPr>
        <w:pStyle w:val="80"/>
        <w:ind w:firstLine="420"/>
      </w:pPr>
      <w:r>
        <w:t>HG/T 2196</w:t>
      </w:r>
      <w:r>
        <w:rPr>
          <w:rFonts w:hint="eastAsia"/>
        </w:rPr>
        <w:t xml:space="preserve">  </w:t>
      </w:r>
      <w:r>
        <w:t>汽车用橡胶材料分类系统</w:t>
      </w:r>
    </w:p>
    <w:p>
      <w:pPr>
        <w:pStyle w:val="80"/>
        <w:ind w:firstLine="420"/>
        <w:rPr>
          <w:rFonts w:hint="eastAsia" w:hAnsi="宋体"/>
          <w:szCs w:val="21"/>
        </w:rPr>
      </w:pPr>
      <w:r>
        <w:t>QC/T 238</w:t>
      </w:r>
      <w:r>
        <w:rPr>
          <w:rFonts w:hint="eastAsia"/>
        </w:rPr>
        <w:t xml:space="preserve">  </w:t>
      </w:r>
      <w:r>
        <w:t>汽车零部件的储存和保管</w:t>
      </w:r>
      <w:r>
        <w:br w:type="textWrapping"/>
      </w:r>
      <w:r>
        <w:t xml:space="preserve">    QC/T 413</w:t>
      </w:r>
      <w:r>
        <w:rPr>
          <w:rFonts w:hint="eastAsia"/>
        </w:rPr>
        <w:t>-2002</w:t>
      </w:r>
      <w:r>
        <w:t xml:space="preserve"> </w:t>
      </w:r>
      <w:r>
        <w:rPr>
          <w:rFonts w:hint="eastAsia"/>
        </w:rPr>
        <w:t xml:space="preserve"> </w:t>
      </w:r>
      <w:r>
        <w:t>汽车电气设备基本技术条件</w:t>
      </w:r>
      <w:r>
        <w:br w:type="textWrapping"/>
      </w:r>
      <w:r>
        <w:t xml:space="preserve">    QC/T 414</w:t>
      </w:r>
      <w:r>
        <w:rPr>
          <w:rFonts w:hint="eastAsia"/>
        </w:rPr>
        <w:t xml:space="preserve">  </w:t>
      </w:r>
      <w:r>
        <w:t>汽车用低压电线的颜色</w:t>
      </w:r>
      <w:r>
        <w:rPr>
          <w:rFonts w:hint="eastAsia"/>
        </w:rPr>
        <w:br w:type="textWrapping"/>
      </w:r>
      <w:r>
        <w:rPr>
          <w:rFonts w:hint="eastAsia"/>
        </w:rPr>
        <w:t xml:space="preserve">    QC/T 29106-2014  汽车电线束技术条件</w:t>
      </w:r>
      <w:r>
        <w:br w:type="textWrapping"/>
      </w:r>
      <w:r>
        <w:t xml:space="preserve">    </w:t>
      </w:r>
      <w:bookmarkStart w:id="34" w:name="_Hlk195430785"/>
      <w:r>
        <w:rPr>
          <w:bCs/>
        </w:rPr>
        <w:t>QC/T 1067</w:t>
      </w:r>
      <w:bookmarkEnd w:id="34"/>
      <w:r>
        <w:rPr>
          <w:bCs/>
        </w:rPr>
        <w:t>.1</w:t>
      </w:r>
      <w:r>
        <w:rPr>
          <w:rFonts w:hint="eastAsia"/>
          <w:bCs/>
        </w:rPr>
        <w:t xml:space="preserve">  </w:t>
      </w:r>
      <w:r>
        <w:t>汽车电线束和电气设备用连接器</w:t>
      </w:r>
      <w:r>
        <w:rPr>
          <w:rFonts w:hint="eastAsia"/>
        </w:rPr>
        <w:t xml:space="preserve"> </w:t>
      </w:r>
      <w:r>
        <w:t>第1部分：定义、试验方法和一般性能要求</w:t>
      </w:r>
      <w:r>
        <w:br w:type="textWrapping"/>
      </w:r>
      <w:r>
        <w:t xml:space="preserve">   </w:t>
      </w:r>
      <w:r>
        <w:rPr>
          <w:rFonts w:hint="eastAsia"/>
        </w:rPr>
        <w:t xml:space="preserve"> QC/T 1067.2  汽车电线束和电气设备用连接器 </w:t>
      </w:r>
      <w:r>
        <w:t>第2部分：插头端子的型式和尺寸</w:t>
      </w:r>
      <w:r>
        <w:br w:type="textWrapping"/>
      </w:r>
      <w:r>
        <w:t xml:space="preserve">    </w:t>
      </w:r>
      <w:r>
        <w:rPr>
          <w:rFonts w:hint="eastAsia"/>
        </w:rPr>
        <w:t>QC/T 1067.3  汽车电线束和电气设备用连接器 第3部分：电线接头的型式、尺寸和特殊要求</w:t>
      </w:r>
      <w:r>
        <w:t xml:space="preserve">    </w:t>
      </w:r>
      <w:r>
        <w:br w:type="textWrapping"/>
      </w:r>
      <w:r>
        <w:t xml:space="preserve">    QCn 29010</w:t>
      </w:r>
      <w:r>
        <w:rPr>
          <w:rFonts w:hint="eastAsia"/>
        </w:rPr>
        <w:t xml:space="preserve">  </w:t>
      </w:r>
      <w:r>
        <w:t>汽车用低压电线接头 型式、尺寸和技术要求</w:t>
      </w:r>
    </w:p>
    <w:p>
      <w:pPr>
        <w:pStyle w:val="126"/>
        <w:spacing w:before="312" w:after="312"/>
      </w:pPr>
      <w:bookmarkStart w:id="35" w:name="_Toc108944363"/>
      <w:bookmarkStart w:id="36" w:name="_Toc109042110"/>
      <w:bookmarkStart w:id="37" w:name="_Toc132310206"/>
      <w:bookmarkStart w:id="38" w:name="_Toc108908221"/>
      <w:bookmarkStart w:id="39" w:name="_Toc197519392"/>
      <w:bookmarkStart w:id="40" w:name="_Toc108905444"/>
      <w:bookmarkStart w:id="41" w:name="_Toc13883"/>
      <w:r>
        <w:rPr>
          <w:rFonts w:hint="eastAsia"/>
          <w:szCs w:val="21"/>
        </w:rPr>
        <w:t>术语和定义</w:t>
      </w:r>
      <w:bookmarkEnd w:id="35"/>
      <w:bookmarkEnd w:id="36"/>
      <w:bookmarkEnd w:id="37"/>
      <w:bookmarkEnd w:id="38"/>
      <w:bookmarkEnd w:id="39"/>
      <w:bookmarkEnd w:id="40"/>
      <w:bookmarkEnd w:id="41"/>
    </w:p>
    <w:p>
      <w:pPr>
        <w:pStyle w:val="80"/>
        <w:tabs>
          <w:tab w:val="center" w:pos="4887"/>
        </w:tabs>
        <w:ind w:firstLine="420"/>
      </w:pPr>
      <w:bookmarkStart w:id="42" w:name="_Toc26986532"/>
      <w:bookmarkEnd w:id="42"/>
      <w:sdt>
        <w:sdtPr>
          <w:id w:val="-1909835108"/>
          <w:placeholder>
            <w:docPart w:val="2C6764793C4A47F8B61CAF24F3BBFBF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r>
        <w:tab/>
      </w:r>
    </w:p>
    <w:p>
      <w:pPr>
        <w:pStyle w:val="80"/>
        <w:tabs>
          <w:tab w:val="center" w:pos="4887"/>
        </w:tabs>
        <w:ind w:firstLine="420"/>
      </w:pPr>
    </w:p>
    <w:p>
      <w:pPr>
        <w:pStyle w:val="240"/>
        <w:ind w:left="420" w:hanging="420" w:hangingChars="200"/>
        <w:rPr>
          <w:rFonts w:ascii="黑体" w:hAnsi="黑体" w:eastAsia="黑体"/>
        </w:rPr>
      </w:pPr>
    </w:p>
    <w:p>
      <w:pPr>
        <w:pStyle w:val="240"/>
        <w:numPr>
          <w:ilvl w:val="0"/>
          <w:numId w:val="0"/>
        </w:numPr>
        <w:ind w:firstLine="420"/>
        <w:rPr>
          <w:rFonts w:hint="eastAsia"/>
        </w:rPr>
      </w:pPr>
      <w:r>
        <w:rPr>
          <w:rFonts w:ascii="黑体" w:hAnsi="黑体" w:eastAsia="黑体"/>
        </w:rPr>
        <w:t>干线  main stem</w:t>
      </w:r>
    </w:p>
    <w:p>
      <w:pPr>
        <w:pStyle w:val="80"/>
        <w:tabs>
          <w:tab w:val="center" w:pos="4887"/>
        </w:tabs>
        <w:ind w:firstLine="420"/>
      </w:pPr>
      <w:r>
        <w:t>电线束中分支点之间的部分</w:t>
      </w:r>
      <w:r>
        <w:rPr>
          <w:rFonts w:hint="eastAsia"/>
        </w:rPr>
        <w:t>（</w:t>
      </w:r>
      <w:r>
        <w:t>如图1所示</w:t>
      </w:r>
      <w:r>
        <w:rPr>
          <w:rFonts w:hint="eastAsia"/>
        </w:rPr>
        <w:t>）</w:t>
      </w:r>
      <w:r>
        <w:t>。</w:t>
      </w:r>
    </w:p>
    <w:p>
      <w:pPr>
        <w:pStyle w:val="80"/>
        <w:tabs>
          <w:tab w:val="center" w:pos="4887"/>
        </w:tabs>
        <w:ind w:firstLine="420"/>
      </w:pPr>
    </w:p>
    <w:p>
      <w:pPr>
        <w:pStyle w:val="240"/>
        <w:ind w:left="420" w:hanging="420" w:hangingChars="200"/>
        <w:rPr>
          <w:rFonts w:ascii="黑体" w:hAnsi="黑体" w:eastAsia="黑体"/>
        </w:rPr>
      </w:pPr>
    </w:p>
    <w:p>
      <w:pPr>
        <w:pStyle w:val="240"/>
        <w:numPr>
          <w:ilvl w:val="0"/>
          <w:numId w:val="0"/>
        </w:numPr>
        <w:ind w:firstLine="420"/>
        <w:rPr>
          <w:rFonts w:hint="eastAsia"/>
        </w:rPr>
      </w:pPr>
      <w:r>
        <w:rPr>
          <w:rFonts w:ascii="黑体" w:hAnsi="黑体" w:eastAsia="黑体"/>
        </w:rPr>
        <w:t>支线  lateral</w:t>
      </w:r>
    </w:p>
    <w:p>
      <w:pPr>
        <w:pStyle w:val="80"/>
        <w:tabs>
          <w:tab w:val="center" w:pos="4887"/>
        </w:tabs>
        <w:ind w:firstLine="420"/>
      </w:pPr>
      <w:r>
        <w:t>电线束中插接器或端子到最近分支点的部分（如图1所示)。</w:t>
      </w:r>
    </w:p>
    <w:p>
      <w:pPr>
        <w:pStyle w:val="80"/>
        <w:tabs>
          <w:tab w:val="center" w:pos="4887"/>
        </w:tabs>
        <w:ind w:firstLine="420"/>
      </w:pPr>
    </w:p>
    <w:p>
      <w:pPr>
        <w:pStyle w:val="240"/>
        <w:ind w:left="420" w:hanging="420" w:hangingChars="200"/>
        <w:rPr>
          <w:rFonts w:ascii="黑体" w:hAnsi="黑体" w:eastAsia="黑体"/>
        </w:rPr>
      </w:pPr>
    </w:p>
    <w:p>
      <w:pPr>
        <w:pStyle w:val="240"/>
        <w:numPr>
          <w:ilvl w:val="0"/>
          <w:numId w:val="0"/>
        </w:numPr>
        <w:ind w:left="420"/>
        <w:rPr>
          <w:rFonts w:hint="eastAsia"/>
        </w:rPr>
      </w:pPr>
      <w:r>
        <w:rPr>
          <w:rFonts w:ascii="黑体" w:hAnsi="黑体" w:eastAsia="黑体"/>
        </w:rPr>
        <w:t>分支点  embranchment point</w:t>
      </w:r>
    </w:p>
    <w:p>
      <w:pPr>
        <w:pStyle w:val="80"/>
        <w:tabs>
          <w:tab w:val="center" w:pos="4887"/>
        </w:tabs>
        <w:ind w:firstLine="420"/>
        <w:rPr>
          <w:rFonts w:hint="eastAsia" w:ascii="Arial" w:hAnsi="宋体" w:cs="Arial"/>
          <w:szCs w:val="21"/>
        </w:rPr>
      </w:pPr>
      <w:r>
        <w:rPr>
          <w:rFonts w:ascii="Arial" w:hAnsi="宋体" w:cs="Arial"/>
          <w:szCs w:val="21"/>
        </w:rPr>
        <w:t>电线束中干线与干线或干线与支线中心线的交点</w:t>
      </w:r>
      <w:r>
        <w:rPr>
          <w:rFonts w:hint="eastAsia" w:ascii="Arial" w:hAnsi="宋体" w:cs="Arial"/>
          <w:szCs w:val="21"/>
        </w:rPr>
        <w:t>（</w:t>
      </w:r>
      <w:r>
        <w:rPr>
          <w:rFonts w:ascii="Arial" w:hAnsi="宋体" w:cs="Arial"/>
          <w:szCs w:val="21"/>
        </w:rPr>
        <w:t>如图</w:t>
      </w:r>
      <w:r>
        <w:rPr>
          <w:rFonts w:hint="eastAsia" w:ascii="Arial" w:hAnsi="Arial" w:cs="Arial"/>
          <w:szCs w:val="21"/>
        </w:rPr>
        <w:t>1</w:t>
      </w:r>
      <w:r>
        <w:rPr>
          <w:rFonts w:ascii="Arial" w:hAnsi="宋体" w:cs="Arial"/>
          <w:szCs w:val="21"/>
        </w:rPr>
        <w:t>所示</w:t>
      </w:r>
      <w:r>
        <w:rPr>
          <w:rFonts w:hint="eastAsia" w:ascii="Arial" w:hAnsi="宋体" w:cs="Arial"/>
          <w:szCs w:val="21"/>
        </w:rPr>
        <w:t>）</w:t>
      </w:r>
      <w:r>
        <w:rPr>
          <w:rFonts w:ascii="Arial" w:hAnsi="宋体" w:cs="Arial"/>
          <w:szCs w:val="21"/>
        </w:rPr>
        <w:t>。</w:t>
      </w:r>
    </w:p>
    <w:p>
      <w:pPr>
        <w:pStyle w:val="80"/>
        <w:tabs>
          <w:tab w:val="center" w:pos="4887"/>
        </w:tabs>
        <w:ind w:firstLine="420"/>
      </w:pPr>
    </w:p>
    <w:p>
      <w:pPr>
        <w:pStyle w:val="240"/>
        <w:ind w:left="420" w:hanging="420" w:hangingChars="200"/>
        <w:rPr>
          <w:rFonts w:ascii="黑体" w:hAnsi="黑体" w:eastAsia="黑体"/>
        </w:rPr>
      </w:pPr>
    </w:p>
    <w:p>
      <w:pPr>
        <w:pStyle w:val="80"/>
        <w:ind w:firstLine="420" w:firstLineChars="0"/>
        <w:rPr>
          <w:rFonts w:hint="eastAsia" w:ascii="黑体" w:hAnsi="黑体" w:eastAsia="黑体"/>
        </w:rPr>
      </w:pPr>
      <w:r>
        <w:rPr>
          <w:rFonts w:ascii="黑体" w:hAnsi="黑体" w:eastAsia="黑体"/>
        </w:rPr>
        <w:t>接点  juncture</w:t>
      </w:r>
    </w:p>
    <w:p>
      <w:pPr>
        <w:pStyle w:val="240"/>
        <w:numPr>
          <w:ilvl w:val="0"/>
          <w:numId w:val="0"/>
        </w:numPr>
      </w:pPr>
      <w:r>
        <w:tab/>
      </w:r>
      <w:r>
        <w:t>电线与电线的连接点(如图1所示)。</w:t>
      </w:r>
    </w:p>
    <w:p>
      <w:pPr>
        <w:pStyle w:val="80"/>
        <w:tabs>
          <w:tab w:val="center" w:pos="4887"/>
        </w:tabs>
        <w:ind w:left="360" w:firstLine="0" w:firstLineChars="0"/>
      </w:pPr>
    </w:p>
    <w:p>
      <w:pPr>
        <w:pStyle w:val="240"/>
        <w:ind w:left="420" w:hanging="420" w:hangingChars="200"/>
        <w:rPr>
          <w:rFonts w:ascii="黑体" w:hAnsi="黑体" w:eastAsia="黑体"/>
        </w:rPr>
      </w:pPr>
    </w:p>
    <w:p>
      <w:pPr>
        <w:pStyle w:val="240"/>
        <w:numPr>
          <w:ilvl w:val="0"/>
          <w:numId w:val="0"/>
        </w:numPr>
        <w:ind w:left="420" w:firstLine="0" w:firstLineChars="0"/>
        <w:rPr>
          <w:rFonts w:hint="eastAsia" w:ascii="黑体" w:hAnsi="黑体" w:eastAsia="黑体"/>
        </w:rPr>
      </w:pPr>
      <w:r>
        <w:rPr>
          <w:rFonts w:ascii="黑体" w:hAnsi="黑体" w:eastAsia="黑体"/>
        </w:rPr>
        <w:t>端子  terminal</w:t>
      </w:r>
    </w:p>
    <w:p>
      <w:pPr>
        <w:pStyle w:val="80"/>
        <w:ind w:firstLine="420"/>
      </w:pPr>
      <w:r>
        <w:t>各种金属接头的统称。</w:t>
      </w:r>
    </w:p>
    <w:p>
      <w:pPr>
        <w:pStyle w:val="80"/>
        <w:ind w:firstLine="420"/>
      </w:pPr>
    </w:p>
    <w:p>
      <w:pPr>
        <w:pStyle w:val="240"/>
        <w:ind w:left="420" w:hanging="420" w:hangingChars="200"/>
        <w:rPr>
          <w:rFonts w:ascii="黑体" w:hAnsi="黑体" w:eastAsia="黑体"/>
        </w:rPr>
      </w:pPr>
    </w:p>
    <w:p>
      <w:pPr>
        <w:pStyle w:val="240"/>
        <w:numPr>
          <w:ilvl w:val="0"/>
          <w:numId w:val="0"/>
        </w:numPr>
        <w:ind w:left="420" w:firstLine="0" w:firstLineChars="0"/>
        <w:rPr>
          <w:rFonts w:hint="eastAsia" w:ascii="黑体" w:hAnsi="黑体" w:eastAsia="黑体"/>
        </w:rPr>
      </w:pPr>
      <w:r>
        <w:rPr>
          <w:rFonts w:ascii="黑体" w:hAnsi="黑体" w:eastAsia="黑体"/>
        </w:rPr>
        <w:t>插接器  connector</w:t>
      </w:r>
    </w:p>
    <w:p>
      <w:pPr>
        <w:pStyle w:val="80"/>
        <w:ind w:firstLine="420"/>
      </w:pPr>
      <w:r>
        <w:t>各种端子护套的统称，包括塑料/金属</w:t>
      </w:r>
      <w:r>
        <w:rPr>
          <w:rFonts w:hint="eastAsia"/>
        </w:rPr>
        <w:t>（</w:t>
      </w:r>
      <w:r>
        <w:t>如图1所示</w:t>
      </w:r>
      <w:r>
        <w:rPr>
          <w:rFonts w:hint="eastAsia"/>
        </w:rPr>
        <w:t>）</w:t>
      </w:r>
      <w:r>
        <w:t>。</w:t>
      </w:r>
    </w:p>
    <w:p>
      <w:pPr>
        <w:pStyle w:val="80"/>
        <w:ind w:firstLine="420"/>
      </w:pPr>
    </w:p>
    <w:p>
      <w:pPr>
        <w:pStyle w:val="80"/>
        <w:ind w:firstLine="360"/>
      </w:pPr>
      <w:r>
        <w:rPr>
          <w:rFonts w:ascii="Arial" w:hAnsi="Arial" w:cs="Arial"/>
          <w:sz w:val="18"/>
          <w:szCs w:val="18"/>
        </w:rPr>
        <w:drawing>
          <wp:inline distT="0" distB="0" distL="0" distR="0">
            <wp:extent cx="5143500" cy="239077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cstate="print"/>
                    <a:srcRect/>
                    <a:stretch>
                      <a:fillRect/>
                    </a:stretch>
                  </pic:blipFill>
                  <pic:spPr>
                    <a:xfrm>
                      <a:off x="0" y="0"/>
                      <a:ext cx="5143500" cy="2390775"/>
                    </a:xfrm>
                    <a:prstGeom prst="rect">
                      <a:avLst/>
                    </a:prstGeom>
                    <a:noFill/>
                    <a:ln w="9525">
                      <a:noFill/>
                      <a:miter lim="800000"/>
                      <a:headEnd/>
                      <a:tailEnd/>
                    </a:ln>
                  </pic:spPr>
                </pic:pic>
              </a:graphicData>
            </a:graphic>
          </wp:inline>
        </w:drawing>
      </w:r>
    </w:p>
    <w:p>
      <w:pPr>
        <w:pStyle w:val="136"/>
        <w:jc w:val="center"/>
      </w:pPr>
      <w:bookmarkStart w:id="43" w:name="_Toc196816842"/>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1</w:t>
      </w:r>
      <w:r>
        <w:fldChar w:fldCharType="end"/>
      </w:r>
      <w:r>
        <w:rPr>
          <w:rFonts w:hint="eastAsia"/>
        </w:rPr>
        <w:t>电线束示意图</w:t>
      </w:r>
      <w:bookmarkEnd w:id="43"/>
    </w:p>
    <w:p>
      <w:pPr>
        <w:pStyle w:val="240"/>
      </w:pPr>
    </w:p>
    <w:p>
      <w:pPr>
        <w:pStyle w:val="240"/>
        <w:numPr>
          <w:ilvl w:val="0"/>
          <w:numId w:val="0"/>
        </w:numPr>
        <w:ind w:firstLine="420"/>
      </w:pPr>
      <w:r>
        <w:rPr>
          <w:rFonts w:hint="eastAsia"/>
        </w:rPr>
        <w:t>缸内线</w:t>
      </w:r>
      <w:r>
        <w:t xml:space="preserve">  </w:t>
      </w:r>
      <w:r>
        <w:rPr>
          <w:rFonts w:hint="eastAsia"/>
        </w:rPr>
        <w:t>c</w:t>
      </w:r>
      <w:r>
        <w:t>ylinder head wiring</w:t>
      </w:r>
    </w:p>
    <w:p>
      <w:pPr>
        <w:pStyle w:val="80"/>
        <w:ind w:firstLine="420"/>
      </w:pPr>
      <w:r>
        <w:rPr>
          <w:rFonts w:hint="eastAsia"/>
        </w:rPr>
        <w:t>安装在发动机缸盖内的线束</w:t>
      </w:r>
      <w:r>
        <w:t>统称。</w:t>
      </w:r>
    </w:p>
    <w:p>
      <w:pPr>
        <w:pStyle w:val="80"/>
        <w:ind w:firstLine="420"/>
      </w:pPr>
    </w:p>
    <w:p>
      <w:pPr>
        <w:pStyle w:val="240"/>
      </w:pPr>
    </w:p>
    <w:p>
      <w:pPr>
        <w:pStyle w:val="240"/>
        <w:numPr>
          <w:ilvl w:val="0"/>
          <w:numId w:val="0"/>
        </w:numPr>
        <w:ind w:firstLine="420"/>
      </w:pPr>
      <w:r>
        <w:rPr>
          <w:rFonts w:hint="eastAsia"/>
        </w:rPr>
        <w:t>定位件  clip</w:t>
      </w:r>
    </w:p>
    <w:p>
      <w:pPr>
        <w:pStyle w:val="80"/>
        <w:ind w:firstLine="420"/>
      </w:pPr>
      <w:r>
        <w:rPr>
          <w:rFonts w:hint="eastAsia"/>
        </w:rPr>
        <w:t>安装在电线束上，用于与车体或其它对应部件固定的零件。</w:t>
      </w:r>
    </w:p>
    <w:p>
      <w:pPr>
        <w:pStyle w:val="80"/>
        <w:ind w:firstLine="420"/>
      </w:pPr>
    </w:p>
    <w:p>
      <w:pPr>
        <w:pStyle w:val="126"/>
        <w:spacing w:before="312" w:after="312"/>
      </w:pPr>
      <w:bookmarkStart w:id="44" w:name="_Toc197519393"/>
      <w:r>
        <w:rPr>
          <w:rFonts w:hint="eastAsia"/>
        </w:rPr>
        <w:t>技术要求</w:t>
      </w:r>
      <w:bookmarkEnd w:id="44"/>
    </w:p>
    <w:p>
      <w:pPr>
        <w:pStyle w:val="127"/>
        <w:spacing w:before="156" w:after="156"/>
      </w:pPr>
      <w:bookmarkStart w:id="45" w:name="_Toc197519394"/>
      <w:r>
        <w:rPr>
          <w:rFonts w:hint="eastAsia"/>
        </w:rPr>
        <w:t>制造</w:t>
      </w:r>
      <w:bookmarkEnd w:id="45"/>
    </w:p>
    <w:p>
      <w:pPr>
        <w:pStyle w:val="40"/>
      </w:pPr>
      <w:r>
        <w:rPr>
          <w:rFonts w:hint="eastAsia"/>
        </w:rPr>
        <w:t>电线束应符合本标准的要求，并按经规定程序批准的图样及技术文件制造。</w:t>
      </w:r>
    </w:p>
    <w:p>
      <w:pPr>
        <w:pStyle w:val="127"/>
        <w:spacing w:before="156" w:after="156"/>
      </w:pPr>
      <w:bookmarkStart w:id="46" w:name="_Toc197519395"/>
      <w:r>
        <w:t>尺寸</w:t>
      </w:r>
      <w:bookmarkEnd w:id="46"/>
    </w:p>
    <w:p>
      <w:pPr>
        <w:pStyle w:val="184"/>
      </w:pPr>
      <w:r>
        <w:rPr>
          <w:rFonts w:hint="eastAsia"/>
        </w:rPr>
        <w:t>干线</w:t>
      </w:r>
    </w:p>
    <w:p>
      <w:pPr>
        <w:pStyle w:val="184"/>
        <w:numPr>
          <w:ilvl w:val="0"/>
          <w:numId w:val="0"/>
        </w:numPr>
        <w:ind w:firstLine="420"/>
      </w:pPr>
      <w:r>
        <w:rPr>
          <w:rFonts w:hint="eastAsia"/>
        </w:rPr>
        <w:t>干线长度宜不小于50mm，定位件安装尺寸按客户要求，尺寸小于等于100mm±3 mm，尺寸大于100 mm的，公差要求±5 mm。</w:t>
      </w:r>
    </w:p>
    <w:p>
      <w:pPr>
        <w:pStyle w:val="184"/>
        <w:numPr>
          <w:ilvl w:val="0"/>
          <w:numId w:val="0"/>
        </w:numPr>
      </w:pPr>
    </w:p>
    <w:p>
      <w:pPr>
        <w:pStyle w:val="184"/>
      </w:pPr>
      <w:r>
        <w:rPr>
          <w:rFonts w:hint="eastAsia"/>
        </w:rPr>
        <w:t>支线</w:t>
      </w:r>
    </w:p>
    <w:p>
      <w:pPr>
        <w:pStyle w:val="184"/>
        <w:numPr>
          <w:ilvl w:val="0"/>
          <w:numId w:val="0"/>
        </w:numPr>
      </w:pPr>
      <w:r>
        <w:rPr>
          <w:rFonts w:hint="eastAsia"/>
        </w:rPr>
        <w:t xml:space="preserve">    支线长度宜不小于80mm。</w:t>
      </w:r>
    </w:p>
    <w:p>
      <w:pPr>
        <w:pStyle w:val="184"/>
        <w:numPr>
          <w:ilvl w:val="0"/>
          <w:numId w:val="0"/>
        </w:numPr>
      </w:pPr>
    </w:p>
    <w:p>
      <w:pPr>
        <w:pStyle w:val="184"/>
      </w:pPr>
      <w:r>
        <w:rPr>
          <w:rFonts w:hint="eastAsia"/>
        </w:rPr>
        <w:t>接点及分支点</w:t>
      </w:r>
    </w:p>
    <w:p>
      <w:pPr>
        <w:pStyle w:val="184"/>
        <w:numPr>
          <w:ilvl w:val="0"/>
          <w:numId w:val="0"/>
        </w:numPr>
      </w:pPr>
    </w:p>
    <w:p>
      <w:pPr>
        <w:pStyle w:val="184"/>
        <w:numPr>
          <w:ilvl w:val="0"/>
          <w:numId w:val="0"/>
        </w:numPr>
      </w:pPr>
      <w:r>
        <w:rPr>
          <w:rFonts w:hint="eastAsia"/>
        </w:rPr>
        <w:t xml:space="preserve">    接点之间，接点与分支点之间的距离宜不小于50mm。</w:t>
      </w:r>
    </w:p>
    <w:p>
      <w:pPr>
        <w:pStyle w:val="184"/>
        <w:numPr>
          <w:ilvl w:val="0"/>
          <w:numId w:val="0"/>
        </w:numPr>
      </w:pPr>
    </w:p>
    <w:p>
      <w:pPr>
        <w:pStyle w:val="184"/>
      </w:pPr>
      <w:r>
        <w:rPr>
          <w:rFonts w:hint="eastAsia"/>
        </w:rPr>
        <w:t>热塑管</w:t>
      </w:r>
    </w:p>
    <w:p>
      <w:pPr>
        <w:pStyle w:val="184"/>
        <w:numPr>
          <w:ilvl w:val="0"/>
          <w:numId w:val="0"/>
        </w:numPr>
      </w:pPr>
      <w:r>
        <w:rPr>
          <w:rFonts w:hint="eastAsia"/>
        </w:rPr>
        <w:t xml:space="preserve">    </w:t>
      </w:r>
    </w:p>
    <w:p>
      <w:pPr>
        <w:pStyle w:val="184"/>
        <w:numPr>
          <w:ilvl w:val="0"/>
          <w:numId w:val="0"/>
        </w:numPr>
      </w:pPr>
      <w:r>
        <w:rPr>
          <w:rFonts w:hint="eastAsia"/>
        </w:rPr>
        <w:t xml:space="preserve">    电线与端子连接处需装热缩管时，热塑管长度不得小于50mm。</w:t>
      </w:r>
    </w:p>
    <w:p>
      <w:pPr>
        <w:pStyle w:val="184"/>
        <w:numPr>
          <w:ilvl w:val="0"/>
          <w:numId w:val="0"/>
        </w:numPr>
      </w:pPr>
    </w:p>
    <w:p>
      <w:pPr>
        <w:pStyle w:val="184"/>
      </w:pPr>
      <w:r>
        <w:rPr>
          <w:rFonts w:hint="eastAsia"/>
        </w:rPr>
        <w:t>极限偏差</w:t>
      </w:r>
    </w:p>
    <w:p>
      <w:pPr>
        <w:pStyle w:val="184"/>
        <w:numPr>
          <w:ilvl w:val="0"/>
          <w:numId w:val="0"/>
        </w:numPr>
      </w:pPr>
    </w:p>
    <w:p>
      <w:pPr>
        <w:pStyle w:val="184"/>
        <w:numPr>
          <w:ilvl w:val="0"/>
          <w:numId w:val="0"/>
        </w:numPr>
      </w:pPr>
      <w:r>
        <w:rPr>
          <w:rFonts w:hint="eastAsia"/>
        </w:rPr>
        <w:t xml:space="preserve">    电线束基本尺寸极限偏差应符合表1规定。</w:t>
      </w:r>
    </w:p>
    <w:p>
      <w:pPr>
        <w:pStyle w:val="80"/>
        <w:ind w:firstLine="420"/>
      </w:pPr>
    </w:p>
    <w:p>
      <w:pPr>
        <w:pStyle w:val="134"/>
        <w:numPr>
          <w:ilvl w:val="0"/>
          <w:numId w:val="2"/>
        </w:numPr>
        <w:wordWrap w:val="0"/>
        <w:spacing w:before="156" w:after="156"/>
        <w:ind w:left="0"/>
        <w:jc w:val="right"/>
        <w:rPr>
          <w:sz w:val="18"/>
          <w:szCs w:val="18"/>
        </w:rPr>
      </w:pPr>
      <w:bookmarkStart w:id="47" w:name="_Toc197351965"/>
      <w:r>
        <w:rPr>
          <w:rFonts w:hint="eastAsia"/>
        </w:rPr>
        <w:t>基本尺寸极限偏差</w:t>
      </w:r>
      <w:bookmarkEnd w:id="47"/>
      <w:r>
        <w:rPr>
          <w:rFonts w:hint="eastAsia"/>
        </w:rPr>
        <w:t xml:space="preserve">                              </w:t>
      </w:r>
    </w:p>
    <w:tbl>
      <w:tblPr>
        <w:tblStyle w:val="30"/>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3802"/>
        <w:gridCol w:w="2717"/>
        <w:gridCol w:w="2717"/>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3802" w:type="dxa"/>
            <w:vMerge w:val="restart"/>
            <w:tcBorders>
              <w:top w:val="single" w:color="000000" w:sz="12" w:space="0"/>
              <w:bottom w:val="single" w:color="000000" w:sz="6" w:space="0"/>
            </w:tcBorders>
            <w:vAlign w:val="center"/>
          </w:tcPr>
          <w:p>
            <w:pPr>
              <w:pStyle w:val="28"/>
              <w:spacing w:before="0" w:beforeAutospacing="0" w:after="0" w:afterAutospacing="0" w:line="300" w:lineRule="atLeast"/>
              <w:ind w:right="90"/>
              <w:jc w:val="center"/>
              <w:rPr>
                <w:rFonts w:hint="eastAsia" w:cs="Arial"/>
                <w:color w:val="auto"/>
                <w:sz w:val="18"/>
                <w:szCs w:val="18"/>
              </w:rPr>
            </w:pPr>
            <w:r>
              <w:rPr>
                <w:rFonts w:cs="Arial"/>
                <w:color w:val="auto"/>
                <w:sz w:val="18"/>
                <w:szCs w:val="18"/>
              </w:rPr>
              <w:t>线束基本尺寸</w:t>
            </w:r>
            <w:r>
              <w:rPr>
                <w:rFonts w:hint="eastAsia" w:cs="Arial"/>
                <w:color w:val="auto"/>
                <w:sz w:val="18"/>
                <w:szCs w:val="18"/>
              </w:rPr>
              <w:t>mm</w:t>
            </w:r>
          </w:p>
        </w:tc>
        <w:tc>
          <w:tcPr>
            <w:tcW w:w="5434" w:type="dxa"/>
            <w:gridSpan w:val="2"/>
            <w:tcBorders>
              <w:top w:val="single" w:color="000000" w:sz="12" w:space="0"/>
              <w:bottom w:val="single" w:color="000000" w:sz="6" w:space="0"/>
            </w:tcBorders>
            <w:vAlign w:val="center"/>
          </w:tcPr>
          <w:p>
            <w:pPr>
              <w:pStyle w:val="28"/>
              <w:spacing w:before="0" w:beforeAutospacing="0" w:after="0" w:afterAutospacing="0" w:line="300" w:lineRule="atLeast"/>
              <w:ind w:right="90"/>
              <w:jc w:val="center"/>
              <w:rPr>
                <w:rFonts w:hint="eastAsia" w:cs="Arial"/>
                <w:color w:val="auto"/>
                <w:sz w:val="18"/>
                <w:szCs w:val="18"/>
              </w:rPr>
            </w:pPr>
            <w:r>
              <w:rPr>
                <w:rFonts w:cs="Arial"/>
                <w:color w:val="auto"/>
                <w:sz w:val="18"/>
                <w:szCs w:val="18"/>
              </w:rPr>
              <w:t>极限偏差</w:t>
            </w:r>
            <w:r>
              <w:rPr>
                <w:rFonts w:hint="eastAsia" w:cs="Arial"/>
                <w:color w:val="auto"/>
                <w:sz w:val="18"/>
                <w:szCs w:val="18"/>
              </w:rPr>
              <w:t>mm</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3802" w:type="dxa"/>
            <w:vMerge w:val="continue"/>
            <w:tcBorders>
              <w:top w:val="single" w:color="000000" w:sz="6" w:space="0"/>
              <w:bottom w:val="single" w:color="000000" w:sz="12" w:space="0"/>
            </w:tcBorders>
            <w:vAlign w:val="center"/>
          </w:tcPr>
          <w:p>
            <w:pPr>
              <w:pStyle w:val="28"/>
              <w:spacing w:before="0" w:beforeAutospacing="0" w:after="0" w:afterAutospacing="0" w:line="300" w:lineRule="atLeast"/>
              <w:ind w:right="90"/>
              <w:jc w:val="center"/>
              <w:rPr>
                <w:rFonts w:hint="eastAsia" w:cs="Arial"/>
                <w:color w:val="auto"/>
                <w:sz w:val="18"/>
                <w:szCs w:val="18"/>
              </w:rPr>
            </w:pPr>
          </w:p>
        </w:tc>
        <w:tc>
          <w:tcPr>
            <w:tcW w:w="2717" w:type="dxa"/>
            <w:tcBorders>
              <w:top w:val="single" w:color="000000" w:sz="6" w:space="0"/>
              <w:bottom w:val="single" w:color="000000" w:sz="12" w:space="0"/>
            </w:tcBorders>
            <w:vAlign w:val="center"/>
          </w:tcPr>
          <w:p>
            <w:pPr>
              <w:pStyle w:val="28"/>
              <w:spacing w:before="0" w:beforeAutospacing="0" w:after="0" w:afterAutospacing="0" w:line="300" w:lineRule="atLeast"/>
              <w:ind w:right="90"/>
              <w:jc w:val="center"/>
              <w:rPr>
                <w:rFonts w:hint="eastAsia" w:cs="Arial"/>
                <w:color w:val="auto"/>
                <w:sz w:val="18"/>
                <w:szCs w:val="18"/>
              </w:rPr>
            </w:pPr>
            <w:r>
              <w:rPr>
                <w:rFonts w:cs="Arial"/>
                <w:color w:val="auto"/>
                <w:sz w:val="18"/>
                <w:szCs w:val="18"/>
              </w:rPr>
              <w:t>干线</w:t>
            </w:r>
          </w:p>
        </w:tc>
        <w:tc>
          <w:tcPr>
            <w:tcW w:w="2717" w:type="dxa"/>
            <w:tcBorders>
              <w:top w:val="single" w:color="000000" w:sz="6" w:space="0"/>
              <w:bottom w:val="single" w:color="000000" w:sz="12" w:space="0"/>
            </w:tcBorders>
            <w:vAlign w:val="center"/>
          </w:tcPr>
          <w:p>
            <w:pPr>
              <w:pStyle w:val="28"/>
              <w:spacing w:before="0" w:beforeAutospacing="0" w:after="0" w:afterAutospacing="0" w:line="300" w:lineRule="atLeast"/>
              <w:ind w:right="90"/>
              <w:jc w:val="center"/>
              <w:rPr>
                <w:rFonts w:hint="eastAsia" w:cs="Arial"/>
                <w:color w:val="auto"/>
                <w:sz w:val="18"/>
                <w:szCs w:val="18"/>
              </w:rPr>
            </w:pPr>
            <w:r>
              <w:rPr>
                <w:rFonts w:cs="Arial"/>
                <w:color w:val="auto"/>
                <w:sz w:val="18"/>
                <w:szCs w:val="18"/>
              </w:rPr>
              <w:t>支线</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3802" w:type="dxa"/>
            <w:tcBorders>
              <w:top w:val="single" w:color="000000" w:sz="12" w:space="0"/>
            </w:tcBorders>
            <w:vAlign w:val="center"/>
          </w:tcPr>
          <w:p>
            <w:pPr>
              <w:pStyle w:val="28"/>
              <w:spacing w:before="0" w:beforeAutospacing="0" w:after="0" w:afterAutospacing="0"/>
              <w:ind w:right="90"/>
              <w:jc w:val="center"/>
              <w:rPr>
                <w:rFonts w:hint="eastAsia" w:cs="Arial"/>
                <w:color w:val="auto"/>
                <w:sz w:val="18"/>
                <w:szCs w:val="18"/>
              </w:rPr>
            </w:pPr>
            <w:r>
              <w:rPr>
                <w:rFonts w:cs="Arial"/>
                <w:color w:val="auto"/>
                <w:sz w:val="18"/>
                <w:szCs w:val="18"/>
              </w:rPr>
              <w:t>≤200</w:t>
            </w:r>
          </w:p>
        </w:tc>
        <w:tc>
          <w:tcPr>
            <w:tcW w:w="2717" w:type="dxa"/>
            <w:tcBorders>
              <w:top w:val="single" w:color="000000" w:sz="12" w:space="0"/>
            </w:tcBorders>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1</w:t>
            </w:r>
            <w:r>
              <w:rPr>
                <w:rFonts w:cs="Arial"/>
                <w:color w:val="auto"/>
                <w:sz w:val="18"/>
                <w:szCs w:val="18"/>
              </w:rPr>
              <w:t xml:space="preserve">0 </w:t>
            </w:r>
          </w:p>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5</w:t>
            </w:r>
          </w:p>
        </w:tc>
        <w:tc>
          <w:tcPr>
            <w:tcW w:w="2717" w:type="dxa"/>
            <w:tcBorders>
              <w:top w:val="single" w:color="000000" w:sz="12" w:space="0"/>
            </w:tcBorders>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 xml:space="preserve">+10                       </w:t>
            </w:r>
          </w:p>
          <w:p>
            <w:pPr>
              <w:pStyle w:val="28"/>
              <w:spacing w:before="0" w:beforeAutospacing="0" w:after="0" w:afterAutospacing="0"/>
              <w:jc w:val="center"/>
              <w:rPr>
                <w:rFonts w:hint="eastAsia" w:cs="Arial"/>
                <w:color w:val="auto"/>
                <w:sz w:val="18"/>
                <w:szCs w:val="18"/>
              </w:rPr>
            </w:pPr>
            <w:r>
              <w:rPr>
                <w:rFonts w:cs="Arial"/>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3802" w:type="dxa"/>
            <w:vAlign w:val="center"/>
          </w:tcPr>
          <w:p>
            <w:pPr>
              <w:pStyle w:val="28"/>
              <w:spacing w:before="0" w:beforeAutospacing="0" w:after="0" w:afterAutospacing="0"/>
              <w:ind w:right="90"/>
              <w:jc w:val="center"/>
              <w:rPr>
                <w:rFonts w:hint="eastAsia" w:cs="Arial"/>
                <w:color w:val="auto"/>
                <w:sz w:val="18"/>
                <w:szCs w:val="18"/>
              </w:rPr>
            </w:pPr>
            <w:r>
              <w:rPr>
                <w:rFonts w:cs="Arial"/>
                <w:color w:val="auto"/>
                <w:sz w:val="18"/>
                <w:szCs w:val="18"/>
              </w:rPr>
              <w:t>＞200~500</w:t>
            </w:r>
          </w:p>
        </w:tc>
        <w:tc>
          <w:tcPr>
            <w:tcW w:w="2717" w:type="dxa"/>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10</w:t>
            </w:r>
            <w:r>
              <w:rPr>
                <w:rFonts w:cs="Arial"/>
                <w:color w:val="auto"/>
                <w:sz w:val="18"/>
                <w:szCs w:val="18"/>
              </w:rPr>
              <w:t xml:space="preserve">                       -</w:t>
            </w:r>
            <w:r>
              <w:rPr>
                <w:rFonts w:hint="eastAsia" w:cs="Arial"/>
                <w:color w:val="auto"/>
                <w:sz w:val="18"/>
                <w:szCs w:val="18"/>
              </w:rPr>
              <w:t>5</w:t>
            </w:r>
          </w:p>
        </w:tc>
        <w:tc>
          <w:tcPr>
            <w:tcW w:w="2717" w:type="dxa"/>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1</w:t>
            </w:r>
            <w:r>
              <w:rPr>
                <w:rFonts w:cs="Arial"/>
                <w:color w:val="auto"/>
                <w:sz w:val="18"/>
                <w:szCs w:val="18"/>
              </w:rPr>
              <w:t xml:space="preserve">0                       </w:t>
            </w:r>
          </w:p>
          <w:p>
            <w:pPr>
              <w:pStyle w:val="28"/>
              <w:spacing w:before="0" w:beforeAutospacing="0" w:after="0" w:afterAutospacing="0"/>
              <w:jc w:val="center"/>
              <w:rPr>
                <w:rFonts w:hint="eastAsia" w:cs="Arial"/>
                <w:color w:val="auto"/>
                <w:sz w:val="18"/>
                <w:szCs w:val="18"/>
              </w:rPr>
            </w:pPr>
            <w:r>
              <w:rPr>
                <w:rFonts w:hint="eastAsia" w:cs="Arial"/>
                <w:color w:val="auto"/>
                <w:sz w:val="18"/>
                <w:szCs w:val="18"/>
              </w:rPr>
              <w:t>-5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3802" w:type="dxa"/>
            <w:vAlign w:val="center"/>
          </w:tcPr>
          <w:p>
            <w:pPr>
              <w:pStyle w:val="28"/>
              <w:spacing w:before="0" w:beforeAutospacing="0" w:after="0" w:afterAutospacing="0"/>
              <w:ind w:right="90"/>
              <w:jc w:val="center"/>
              <w:rPr>
                <w:rFonts w:hint="eastAsia" w:cs="Arial"/>
                <w:color w:val="auto"/>
                <w:sz w:val="18"/>
                <w:szCs w:val="18"/>
              </w:rPr>
            </w:pPr>
            <w:r>
              <w:rPr>
                <w:rFonts w:cs="Arial"/>
                <w:color w:val="auto"/>
                <w:sz w:val="18"/>
                <w:szCs w:val="18"/>
              </w:rPr>
              <w:t>＞500~1000</w:t>
            </w:r>
          </w:p>
        </w:tc>
        <w:tc>
          <w:tcPr>
            <w:tcW w:w="2717" w:type="dxa"/>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1</w:t>
            </w:r>
            <w:r>
              <w:rPr>
                <w:rFonts w:cs="Arial"/>
                <w:color w:val="auto"/>
                <w:sz w:val="18"/>
                <w:szCs w:val="18"/>
              </w:rPr>
              <w:t>5                       -</w:t>
            </w:r>
            <w:r>
              <w:rPr>
                <w:rFonts w:hint="eastAsia" w:cs="Arial"/>
                <w:color w:val="auto"/>
                <w:sz w:val="18"/>
                <w:szCs w:val="18"/>
              </w:rPr>
              <w:t>5</w:t>
            </w:r>
          </w:p>
        </w:tc>
        <w:tc>
          <w:tcPr>
            <w:tcW w:w="2717" w:type="dxa"/>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1</w:t>
            </w:r>
            <w:r>
              <w:rPr>
                <w:rFonts w:cs="Arial"/>
                <w:color w:val="auto"/>
                <w:sz w:val="18"/>
                <w:szCs w:val="18"/>
              </w:rPr>
              <w:t xml:space="preserve">5                       </w:t>
            </w:r>
          </w:p>
          <w:p>
            <w:pPr>
              <w:pStyle w:val="28"/>
              <w:spacing w:before="0" w:beforeAutospacing="0" w:after="0" w:afterAutospacing="0"/>
              <w:jc w:val="center"/>
              <w:rPr>
                <w:rFonts w:hint="eastAsia" w:cs="Arial"/>
                <w:color w:val="auto"/>
                <w:sz w:val="18"/>
                <w:szCs w:val="18"/>
              </w:rPr>
            </w:pPr>
            <w:r>
              <w:rPr>
                <w:rFonts w:hint="eastAsia" w:cs="Arial"/>
                <w:color w:val="auto"/>
                <w:sz w:val="18"/>
                <w:szCs w:val="18"/>
              </w:rPr>
              <w:t>-5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3802" w:type="dxa"/>
            <w:vAlign w:val="center"/>
          </w:tcPr>
          <w:p>
            <w:pPr>
              <w:pStyle w:val="28"/>
              <w:spacing w:before="0" w:beforeAutospacing="0" w:after="0" w:afterAutospacing="0"/>
              <w:ind w:right="90"/>
              <w:jc w:val="center"/>
              <w:rPr>
                <w:rFonts w:hint="eastAsia" w:cs="Arial"/>
                <w:color w:val="auto"/>
                <w:sz w:val="18"/>
                <w:szCs w:val="18"/>
              </w:rPr>
            </w:pPr>
            <w:r>
              <w:rPr>
                <w:rFonts w:cs="Arial"/>
                <w:color w:val="auto"/>
                <w:sz w:val="18"/>
                <w:szCs w:val="18"/>
              </w:rPr>
              <w:t>＞1000~2000</w:t>
            </w:r>
          </w:p>
        </w:tc>
        <w:tc>
          <w:tcPr>
            <w:tcW w:w="2717" w:type="dxa"/>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2</w:t>
            </w:r>
            <w:r>
              <w:rPr>
                <w:rFonts w:cs="Arial"/>
                <w:color w:val="auto"/>
                <w:sz w:val="18"/>
                <w:szCs w:val="18"/>
              </w:rPr>
              <w:t>0                       -</w:t>
            </w:r>
            <w:r>
              <w:rPr>
                <w:rFonts w:hint="eastAsia" w:cs="Arial"/>
                <w:color w:val="auto"/>
                <w:sz w:val="18"/>
                <w:szCs w:val="18"/>
              </w:rPr>
              <w:t>5</w:t>
            </w:r>
          </w:p>
        </w:tc>
        <w:tc>
          <w:tcPr>
            <w:tcW w:w="2717" w:type="dxa"/>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2</w:t>
            </w:r>
            <w:r>
              <w:rPr>
                <w:rFonts w:cs="Arial"/>
                <w:color w:val="auto"/>
                <w:sz w:val="18"/>
                <w:szCs w:val="18"/>
              </w:rPr>
              <w:t xml:space="preserve">0                      </w:t>
            </w:r>
          </w:p>
          <w:p>
            <w:pPr>
              <w:pStyle w:val="28"/>
              <w:spacing w:before="0" w:beforeAutospacing="0" w:after="0" w:afterAutospacing="0"/>
              <w:jc w:val="center"/>
              <w:rPr>
                <w:rFonts w:hint="eastAsia" w:cs="Arial"/>
                <w:color w:val="auto"/>
                <w:sz w:val="18"/>
                <w:szCs w:val="18"/>
              </w:rPr>
            </w:pPr>
            <w:r>
              <w:rPr>
                <w:rFonts w:cs="Arial"/>
                <w:color w:val="auto"/>
                <w:sz w:val="18"/>
                <w:szCs w:val="18"/>
              </w:rPr>
              <w:t xml:space="preserve"> </w:t>
            </w:r>
            <w:r>
              <w:rPr>
                <w:rFonts w:hint="eastAsia" w:cs="Arial"/>
                <w:color w:val="auto"/>
                <w:sz w:val="18"/>
                <w:szCs w:val="18"/>
              </w:rPr>
              <w:t>-5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3802" w:type="dxa"/>
            <w:vAlign w:val="center"/>
          </w:tcPr>
          <w:p>
            <w:pPr>
              <w:pStyle w:val="28"/>
              <w:spacing w:before="0" w:beforeAutospacing="0" w:after="0" w:afterAutospacing="0"/>
              <w:ind w:right="90"/>
              <w:jc w:val="center"/>
              <w:rPr>
                <w:rFonts w:hint="eastAsia" w:cs="Arial"/>
                <w:color w:val="auto"/>
                <w:sz w:val="18"/>
                <w:szCs w:val="18"/>
              </w:rPr>
            </w:pPr>
            <w:r>
              <w:rPr>
                <w:rFonts w:cs="Arial"/>
                <w:color w:val="auto"/>
                <w:sz w:val="18"/>
                <w:szCs w:val="18"/>
              </w:rPr>
              <w:t>＞2000~5000</w:t>
            </w:r>
          </w:p>
        </w:tc>
        <w:tc>
          <w:tcPr>
            <w:tcW w:w="2717" w:type="dxa"/>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3</w:t>
            </w:r>
            <w:r>
              <w:rPr>
                <w:rFonts w:cs="Arial"/>
                <w:color w:val="auto"/>
                <w:sz w:val="18"/>
                <w:szCs w:val="18"/>
              </w:rPr>
              <w:t>0                       -</w:t>
            </w:r>
            <w:r>
              <w:rPr>
                <w:rFonts w:hint="eastAsia" w:cs="Arial"/>
                <w:color w:val="auto"/>
                <w:sz w:val="18"/>
                <w:szCs w:val="18"/>
              </w:rPr>
              <w:t>5</w:t>
            </w:r>
          </w:p>
        </w:tc>
        <w:tc>
          <w:tcPr>
            <w:tcW w:w="2717" w:type="dxa"/>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3</w:t>
            </w:r>
            <w:r>
              <w:rPr>
                <w:rFonts w:cs="Arial"/>
                <w:color w:val="auto"/>
                <w:sz w:val="18"/>
                <w:szCs w:val="18"/>
              </w:rPr>
              <w:t xml:space="preserve">0                      </w:t>
            </w:r>
          </w:p>
          <w:p>
            <w:pPr>
              <w:pStyle w:val="28"/>
              <w:spacing w:before="0" w:beforeAutospacing="0" w:after="0" w:afterAutospacing="0"/>
              <w:jc w:val="center"/>
              <w:rPr>
                <w:rFonts w:hint="eastAsia" w:cs="Arial"/>
                <w:color w:val="auto"/>
                <w:sz w:val="18"/>
                <w:szCs w:val="18"/>
              </w:rPr>
            </w:pPr>
            <w:r>
              <w:rPr>
                <w:rFonts w:cs="Arial"/>
                <w:color w:val="auto"/>
                <w:sz w:val="18"/>
                <w:szCs w:val="18"/>
              </w:rPr>
              <w:t xml:space="preserve"> </w:t>
            </w:r>
            <w:r>
              <w:rPr>
                <w:rFonts w:hint="eastAsia" w:cs="Arial"/>
                <w:color w:val="auto"/>
                <w:sz w:val="18"/>
                <w:szCs w:val="18"/>
              </w:rPr>
              <w:t>-5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3802" w:type="dxa"/>
            <w:vAlign w:val="center"/>
          </w:tcPr>
          <w:p>
            <w:pPr>
              <w:pStyle w:val="28"/>
              <w:spacing w:before="0" w:beforeAutospacing="0" w:after="0" w:afterAutospacing="0"/>
              <w:ind w:right="90"/>
              <w:jc w:val="center"/>
              <w:rPr>
                <w:rFonts w:hint="eastAsia" w:cs="Arial"/>
                <w:color w:val="auto"/>
                <w:sz w:val="18"/>
                <w:szCs w:val="18"/>
              </w:rPr>
            </w:pPr>
            <w:r>
              <w:rPr>
                <w:rFonts w:cs="Arial"/>
                <w:color w:val="auto"/>
                <w:sz w:val="18"/>
                <w:szCs w:val="18"/>
              </w:rPr>
              <w:t>＞5000</w:t>
            </w:r>
          </w:p>
        </w:tc>
        <w:tc>
          <w:tcPr>
            <w:tcW w:w="2717" w:type="dxa"/>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3</w:t>
            </w:r>
            <w:r>
              <w:rPr>
                <w:rFonts w:cs="Arial"/>
                <w:color w:val="auto"/>
                <w:sz w:val="18"/>
                <w:szCs w:val="18"/>
              </w:rPr>
              <w:t>0                       -</w:t>
            </w:r>
            <w:r>
              <w:rPr>
                <w:rFonts w:hint="eastAsia" w:cs="Arial"/>
                <w:color w:val="auto"/>
                <w:sz w:val="18"/>
                <w:szCs w:val="18"/>
              </w:rPr>
              <w:t>5</w:t>
            </w:r>
          </w:p>
        </w:tc>
        <w:tc>
          <w:tcPr>
            <w:tcW w:w="2717" w:type="dxa"/>
            <w:vAlign w:val="center"/>
          </w:tcPr>
          <w:p>
            <w:pPr>
              <w:pStyle w:val="28"/>
              <w:spacing w:before="0" w:beforeAutospacing="0" w:after="0" w:afterAutospacing="0"/>
              <w:jc w:val="center"/>
              <w:rPr>
                <w:rFonts w:hint="eastAsia" w:cs="Arial"/>
                <w:color w:val="auto"/>
                <w:sz w:val="18"/>
                <w:szCs w:val="18"/>
              </w:rPr>
            </w:pPr>
            <w:r>
              <w:rPr>
                <w:rFonts w:cs="Arial"/>
                <w:color w:val="auto"/>
                <w:sz w:val="18"/>
                <w:szCs w:val="18"/>
              </w:rPr>
              <w:t>+</w:t>
            </w:r>
            <w:r>
              <w:rPr>
                <w:rFonts w:hint="eastAsia" w:cs="Arial"/>
                <w:color w:val="auto"/>
                <w:sz w:val="18"/>
                <w:szCs w:val="18"/>
              </w:rPr>
              <w:t>3</w:t>
            </w:r>
            <w:r>
              <w:rPr>
                <w:rFonts w:cs="Arial"/>
                <w:color w:val="auto"/>
                <w:sz w:val="18"/>
                <w:szCs w:val="18"/>
              </w:rPr>
              <w:t xml:space="preserve">0                    </w:t>
            </w:r>
          </w:p>
          <w:p>
            <w:pPr>
              <w:pStyle w:val="28"/>
              <w:spacing w:before="0" w:beforeAutospacing="0" w:after="0" w:afterAutospacing="0"/>
              <w:jc w:val="center"/>
              <w:rPr>
                <w:rFonts w:hint="eastAsia" w:cs="Arial"/>
                <w:color w:val="auto"/>
                <w:sz w:val="18"/>
                <w:szCs w:val="18"/>
              </w:rPr>
            </w:pPr>
            <w:r>
              <w:rPr>
                <w:rFonts w:cs="Arial"/>
                <w:color w:val="auto"/>
                <w:sz w:val="18"/>
                <w:szCs w:val="18"/>
              </w:rPr>
              <w:t xml:space="preserve"> </w:t>
            </w:r>
            <w:r>
              <w:rPr>
                <w:rFonts w:hint="eastAsia" w:cs="Arial"/>
                <w:color w:val="auto"/>
                <w:sz w:val="18"/>
                <w:szCs w:val="18"/>
              </w:rPr>
              <w:t>-5</w:t>
            </w:r>
          </w:p>
        </w:tc>
      </w:tr>
    </w:tbl>
    <w:p>
      <w:pPr>
        <w:pStyle w:val="40"/>
        <w:ind w:firstLine="0" w:firstLineChars="0"/>
      </w:pPr>
    </w:p>
    <w:p>
      <w:pPr>
        <w:pStyle w:val="127"/>
        <w:spacing w:before="156" w:after="156"/>
      </w:pPr>
      <w:bookmarkStart w:id="48" w:name="_Toc197519396"/>
      <w:r>
        <w:rPr>
          <w:rFonts w:hint="eastAsia"/>
        </w:rPr>
        <w:t>材料和零部件</w:t>
      </w:r>
      <w:bookmarkEnd w:id="48"/>
    </w:p>
    <w:p>
      <w:pPr>
        <w:pStyle w:val="184"/>
      </w:pPr>
      <w:r>
        <w:rPr>
          <w:rFonts w:hint="eastAsia"/>
        </w:rPr>
        <w:t>电线束中所用材料和零部件应遵守电控系统指定。</w:t>
      </w:r>
    </w:p>
    <w:p>
      <w:pPr>
        <w:pStyle w:val="184"/>
      </w:pPr>
      <w:r>
        <w:rPr>
          <w:rFonts w:hint="eastAsia"/>
        </w:rPr>
        <w:t>电线的颜色应优先采用QC/T 414的规定，具体形式按客户要求执行。</w:t>
      </w:r>
    </w:p>
    <w:p>
      <w:pPr>
        <w:pStyle w:val="184"/>
      </w:pPr>
      <w:r>
        <w:rPr>
          <w:rFonts w:hint="eastAsia"/>
        </w:rPr>
        <w:t>接头应符合QCn 29010的规定。</w:t>
      </w:r>
    </w:p>
    <w:p>
      <w:pPr>
        <w:pStyle w:val="89"/>
        <w:spacing w:before="156" w:after="156"/>
      </w:pPr>
      <w:r>
        <w:rPr>
          <w:rFonts w:hint="eastAsia" w:ascii="宋体" w:hAnsi="宋体" w:eastAsia="宋体"/>
        </w:rPr>
        <w:t>插接器应分别符合</w:t>
      </w:r>
      <w:r>
        <w:rPr>
          <w:rFonts w:ascii="宋体" w:hAnsi="宋体" w:eastAsia="宋体"/>
          <w:bCs/>
        </w:rPr>
        <w:t>QC/T 1067.1、QC/T 1067.</w:t>
      </w:r>
      <w:r>
        <w:rPr>
          <w:rFonts w:hint="eastAsia" w:ascii="宋体" w:hAnsi="宋体" w:eastAsia="宋体"/>
          <w:bCs/>
        </w:rPr>
        <w:t>2</w:t>
      </w:r>
      <w:r>
        <w:rPr>
          <w:rFonts w:ascii="宋体" w:hAnsi="宋体" w:eastAsia="宋体"/>
          <w:bCs/>
        </w:rPr>
        <w:t>、QC/T 1067.</w:t>
      </w:r>
      <w:r>
        <w:rPr>
          <w:rFonts w:hint="eastAsia" w:ascii="宋体" w:hAnsi="宋体" w:eastAsia="宋体"/>
          <w:bCs/>
        </w:rPr>
        <w:t>3</w:t>
      </w:r>
      <w:r>
        <w:rPr>
          <w:rFonts w:hint="eastAsia" w:ascii="宋体" w:hAnsi="宋体" w:eastAsia="宋体"/>
        </w:rPr>
        <w:t>的规定</w:t>
      </w:r>
      <w:r>
        <w:rPr>
          <w:rFonts w:hint="eastAsia"/>
        </w:rPr>
        <w:t>。</w:t>
      </w:r>
    </w:p>
    <w:p>
      <w:pPr>
        <w:pStyle w:val="184"/>
      </w:pPr>
      <w:r>
        <w:rPr>
          <w:rFonts w:hint="eastAsia"/>
        </w:rPr>
        <w:t>电线应符合</w:t>
      </w:r>
      <w:r>
        <w:t xml:space="preserve">QC/T </w:t>
      </w:r>
      <w:r>
        <w:rPr>
          <w:rFonts w:hint="eastAsia"/>
        </w:rPr>
        <w:t>25085的规定。</w:t>
      </w:r>
    </w:p>
    <w:p>
      <w:pPr>
        <w:pStyle w:val="89"/>
        <w:spacing w:before="156" w:after="156"/>
      </w:pPr>
      <w:r>
        <w:rPr>
          <w:rFonts w:hint="eastAsia" w:ascii="宋体" w:eastAsia="宋体"/>
        </w:rPr>
        <w:t>橡胶制品材料应符合HG/T 2196的规定。缸内线因工作环境特殊，采用其他耐高温材料，不适用</w:t>
      </w:r>
      <w:r>
        <w:rPr>
          <w:rFonts w:ascii="宋体" w:eastAsia="宋体"/>
        </w:rPr>
        <w:t xml:space="preserve"> HG/T 2196</w:t>
      </w:r>
      <w:r>
        <w:rPr>
          <w:rFonts w:hint="eastAsia"/>
        </w:rPr>
        <w:t>。</w:t>
      </w:r>
    </w:p>
    <w:p>
      <w:pPr>
        <w:pStyle w:val="184"/>
      </w:pPr>
      <w:r>
        <w:rPr>
          <w:rFonts w:hint="eastAsia"/>
        </w:rPr>
        <w:t>聚氯乙烯压敏胶粘带应符合GB/T 20631.</w:t>
      </w:r>
      <w:r>
        <w:rPr>
          <w:rFonts w:hint="eastAsia"/>
          <w:color w:val="000000" w:themeColor="text1"/>
          <w14:textFill>
            <w14:solidFill>
              <w14:schemeClr w14:val="tx1"/>
            </w14:solidFill>
          </w14:textFill>
        </w:rPr>
        <w:t>1─2006</w:t>
      </w:r>
      <w:r>
        <w:rPr>
          <w:rFonts w:hint="eastAsia"/>
        </w:rPr>
        <w:t>的规定。</w:t>
      </w:r>
    </w:p>
    <w:p>
      <w:pPr>
        <w:pStyle w:val="184"/>
      </w:pPr>
      <w:r>
        <w:rPr>
          <w:rFonts w:hint="eastAsia"/>
        </w:rPr>
        <w:t>屏蔽线符合GB/T 93</w:t>
      </w:r>
      <w:r>
        <w:rPr>
          <w:rFonts w:hint="eastAsia"/>
          <w:color w:val="000000" w:themeColor="text1"/>
          <w14:textFill>
            <w14:solidFill>
              <w14:schemeClr w14:val="tx1"/>
            </w14:solidFill>
          </w14:textFill>
        </w:rPr>
        <w:t>30─2020</w:t>
      </w:r>
      <w:r>
        <w:rPr>
          <w:rFonts w:hint="eastAsia"/>
        </w:rPr>
        <w:t xml:space="preserve"> 塑料绝缘控制电缆：一般规定的规定，屏蔽线具体形式按客户要求执行。</w:t>
      </w:r>
    </w:p>
    <w:p>
      <w:pPr>
        <w:pStyle w:val="184"/>
      </w:pPr>
      <w:r>
        <w:rPr>
          <w:rFonts w:hint="eastAsia"/>
        </w:rPr>
        <w:t>绞合线绞距L要求大于7倍～8倍导线直径D，并小于50mm（如图2）。</w:t>
      </w:r>
    </w:p>
    <w:p>
      <w:pPr>
        <w:pStyle w:val="184"/>
        <w:numPr>
          <w:ilvl w:val="0"/>
          <w:numId w:val="0"/>
        </w:numPr>
      </w:pPr>
    </w:p>
    <w:p>
      <w:pPr>
        <w:pStyle w:val="40"/>
        <w:ind w:firstLine="400"/>
        <w:jc w:val="center"/>
      </w:pPr>
      <w:r>
        <w:rPr>
          <w:rFonts w:ascii="Arial" w:hAnsi="Arial" w:cs="Arial"/>
          <w:sz w:val="20"/>
        </w:rPr>
        <w:drawing>
          <wp:inline distT="0" distB="0" distL="0" distR="0">
            <wp:extent cx="4667250" cy="828675"/>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9" cstate="print"/>
                    <a:srcRect/>
                    <a:stretch>
                      <a:fillRect/>
                    </a:stretch>
                  </pic:blipFill>
                  <pic:spPr>
                    <a:xfrm>
                      <a:off x="0" y="0"/>
                      <a:ext cx="4667250" cy="828675"/>
                    </a:xfrm>
                    <a:prstGeom prst="rect">
                      <a:avLst/>
                    </a:prstGeom>
                    <a:noFill/>
                    <a:ln w="9525">
                      <a:noFill/>
                      <a:miter lim="800000"/>
                      <a:headEnd/>
                      <a:tailEnd/>
                    </a:ln>
                  </pic:spPr>
                </pic:pic>
              </a:graphicData>
            </a:graphic>
          </wp:inline>
        </w:drawing>
      </w:r>
    </w:p>
    <w:p>
      <w:pPr>
        <w:pStyle w:val="40"/>
        <w:ind w:firstLine="360"/>
        <w:jc w:val="left"/>
        <w:rPr>
          <w:rFonts w:hint="eastAsia" w:ascii="隶书" w:eastAsia="隶书" w:cs="Arial" w:hAnsiTheme="minorEastAsia"/>
          <w:sz w:val="18"/>
          <w:szCs w:val="18"/>
        </w:rPr>
      </w:pPr>
      <w:r>
        <w:rPr>
          <w:rFonts w:hint="eastAsia" w:ascii="黑体" w:hAnsi="黑体" w:eastAsia="黑体" w:cs="Arial"/>
          <w:sz w:val="18"/>
          <w:szCs w:val="18"/>
        </w:rPr>
        <w:t>注</w:t>
      </w:r>
      <w:r>
        <w:rPr>
          <w:rFonts w:hint="eastAsia" w:ascii="隶书" w:eastAsia="隶书" w:cs="Arial" w:hAnsiTheme="minorEastAsia"/>
          <w:sz w:val="18"/>
          <w:szCs w:val="18"/>
        </w:rPr>
        <w:t>：D×(7或8)﹤L﹤50</w:t>
      </w:r>
    </w:p>
    <w:p>
      <w:pPr>
        <w:pStyle w:val="136"/>
        <w:jc w:val="center"/>
      </w:pPr>
      <w:bookmarkStart w:id="49" w:name="_Toc196816843"/>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2</w:t>
      </w:r>
      <w:r>
        <w:fldChar w:fldCharType="end"/>
      </w:r>
      <w:r>
        <w:rPr>
          <w:rFonts w:hint="eastAsia"/>
        </w:rPr>
        <w:t>绞合线绞距</w:t>
      </w:r>
      <w:bookmarkEnd w:id="49"/>
    </w:p>
    <w:p>
      <w:pPr>
        <w:pStyle w:val="80"/>
        <w:ind w:firstLine="420"/>
      </w:pPr>
    </w:p>
    <w:p>
      <w:pPr>
        <w:pStyle w:val="127"/>
        <w:spacing w:before="156" w:after="156"/>
      </w:pPr>
      <w:bookmarkStart w:id="50" w:name="_Toc323893864"/>
      <w:bookmarkStart w:id="51" w:name="_Toc323892716"/>
      <w:bookmarkStart w:id="52" w:name="_Toc197519397"/>
      <w:bookmarkStart w:id="53" w:name="_Toc323892861"/>
      <w:bookmarkStart w:id="54" w:name="_Toc323892987"/>
      <w:r>
        <w:t>端子与电线的连接</w:t>
      </w:r>
      <w:bookmarkEnd w:id="50"/>
      <w:bookmarkEnd w:id="51"/>
      <w:bookmarkEnd w:id="52"/>
      <w:bookmarkEnd w:id="53"/>
      <w:bookmarkEnd w:id="54"/>
    </w:p>
    <w:p>
      <w:pPr>
        <w:pStyle w:val="184"/>
      </w:pPr>
      <w:r>
        <w:t>端子与电线连接应优先采用压接方法。</w:t>
      </w:r>
    </w:p>
    <w:p>
      <w:pPr>
        <w:pStyle w:val="184"/>
      </w:pPr>
      <w:r>
        <w:t>端子应分别压紧在导体和绝缘层上，导体不应压断，绝缘层不应压入导体压接部位，在图3所示的a区中可见电线导体，但不能妨碍插接；在图</w:t>
      </w:r>
      <w:r>
        <w:rPr>
          <w:rFonts w:hint="eastAsia"/>
        </w:rPr>
        <w:t>4</w:t>
      </w:r>
      <w:r>
        <w:t>所示的a区中可见电线导体，但不能超过圆端子的外径或螺母端子匹配的套筒扳手外径。</w:t>
      </w:r>
    </w:p>
    <w:p>
      <w:pPr>
        <w:pStyle w:val="89"/>
        <w:spacing w:before="156" w:after="156"/>
        <w:rPr>
          <w:rFonts w:ascii="宋体" w:eastAsia="宋体"/>
        </w:rPr>
      </w:pPr>
      <w:r>
        <w:rPr>
          <w:rFonts w:hint="eastAsia" w:ascii="宋体" w:eastAsia="宋体"/>
        </w:rPr>
        <w:t>绝缘压接甩线</w:t>
      </w:r>
      <w:r>
        <w:rPr>
          <w:rFonts w:ascii="宋体" w:eastAsia="宋体"/>
        </w:rPr>
        <w:t>50mm，在只压接端子绝缘区的情况下，导线上下折弯30°后，绝缘压接部分不松脱。</w:t>
      </w:r>
    </w:p>
    <w:p>
      <w:pPr>
        <w:pStyle w:val="184"/>
      </w:pPr>
      <w:r>
        <w:t>采用压接方法的端子与电线压接处的横断面应符合附录A的要求。</w:t>
      </w:r>
    </w:p>
    <w:p>
      <w:pPr>
        <w:pStyle w:val="184"/>
        <w:numPr>
          <w:ilvl w:val="0"/>
          <w:numId w:val="0"/>
        </w:numPr>
      </w:pPr>
    </w:p>
    <w:p>
      <w:pPr>
        <w:pStyle w:val="184"/>
      </w:pPr>
      <w:r>
        <w:t>端子与电线连接应牢固，在规定的拉力下不应损伤和脱开，其拉力值应不小于表2的规定。</w:t>
      </w:r>
    </w:p>
    <w:p>
      <w:pPr>
        <w:pStyle w:val="184"/>
        <w:numPr>
          <w:ilvl w:val="0"/>
          <w:numId w:val="0"/>
        </w:numPr>
      </w:pPr>
    </w:p>
    <w:p>
      <w:pPr>
        <w:pStyle w:val="184"/>
      </w:pPr>
      <w:r>
        <w:t>端子与电线连接处的电压降应不大于表3的规定。</w:t>
      </w:r>
    </w:p>
    <w:p>
      <w:pPr>
        <w:pStyle w:val="278"/>
        <w:rPr>
          <w:rFonts w:hint="eastAsia"/>
        </w:rPr>
      </w:pPr>
    </w:p>
    <w:p>
      <w:pPr>
        <w:pStyle w:val="184"/>
      </w:pPr>
      <w:r>
        <w:t>端子与电线连接处的</w:t>
      </w:r>
      <w:r>
        <w:rPr>
          <w:rFonts w:hint="eastAsia"/>
        </w:rPr>
        <w:t>接触电阻应符合表4的规定。</w:t>
      </w:r>
    </w:p>
    <w:p>
      <w:pPr>
        <w:pStyle w:val="40"/>
        <w:ind w:firstLine="360"/>
        <w:jc w:val="center"/>
        <w:rPr>
          <w:rFonts w:hint="eastAsia" w:ascii="黑体" w:hAnsi="黑体" w:eastAsia="黑体"/>
          <w:szCs w:val="21"/>
        </w:rPr>
      </w:pPr>
      <w:r>
        <w:rPr>
          <w:rFonts w:ascii="Arial" w:hAnsi="Arial" w:cs="Arial"/>
          <w:sz w:val="18"/>
          <w:szCs w:val="18"/>
        </w:rPr>
        <w:drawing>
          <wp:inline distT="0" distB="0" distL="0" distR="0">
            <wp:extent cx="3508375" cy="22472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cstate="print"/>
                    <a:srcRect l="3500" t="7301" r="7002" b="9525"/>
                    <a:stretch>
                      <a:fillRect/>
                    </a:stretch>
                  </pic:blipFill>
                  <pic:spPr>
                    <a:xfrm>
                      <a:off x="0" y="0"/>
                      <a:ext cx="3515759" cy="2252149"/>
                    </a:xfrm>
                    <a:prstGeom prst="rect">
                      <a:avLst/>
                    </a:prstGeom>
                    <a:noFill/>
                    <a:ln w="9525">
                      <a:noFill/>
                      <a:miter lim="800000"/>
                      <a:headEnd/>
                      <a:tailEnd/>
                    </a:ln>
                  </pic:spPr>
                </pic:pic>
              </a:graphicData>
            </a:graphic>
          </wp:inline>
        </w:drawing>
      </w:r>
    </w:p>
    <w:p>
      <w:pPr>
        <w:pStyle w:val="136"/>
        <w:jc w:val="center"/>
      </w:pPr>
      <w:bookmarkStart w:id="55" w:name="_Toc196816844"/>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3</w:t>
      </w:r>
      <w:r>
        <w:fldChar w:fldCharType="end"/>
      </w:r>
      <w:r>
        <w:rPr>
          <w:rFonts w:hint="eastAsia"/>
        </w:rPr>
        <w:t>端子与电线连接示意图主视图</w:t>
      </w:r>
      <w:bookmarkEnd w:id="55"/>
    </w:p>
    <w:p>
      <w:pPr>
        <w:jc w:val="center"/>
        <w:rPr>
          <w:rFonts w:hint="eastAsia"/>
        </w:rPr>
      </w:pPr>
      <w:r>
        <w:rPr>
          <w:rFonts w:ascii="Arial" w:hAnsi="Arial" w:cs="Arial"/>
          <w:sz w:val="20"/>
        </w:rPr>
        <w:drawing>
          <wp:inline distT="0" distB="0" distL="0" distR="0">
            <wp:extent cx="4380230" cy="1869440"/>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1" cstate="print"/>
                    <a:srcRect l="5450" t="7489" r="4193" b="11453"/>
                    <a:stretch>
                      <a:fillRect/>
                    </a:stretch>
                  </pic:blipFill>
                  <pic:spPr>
                    <a:xfrm>
                      <a:off x="0" y="0"/>
                      <a:ext cx="4390974" cy="1874086"/>
                    </a:xfrm>
                    <a:prstGeom prst="rect">
                      <a:avLst/>
                    </a:prstGeom>
                    <a:noFill/>
                    <a:ln w="9525">
                      <a:noFill/>
                      <a:miter lim="800000"/>
                      <a:headEnd/>
                      <a:tailEnd/>
                    </a:ln>
                  </pic:spPr>
                </pic:pic>
              </a:graphicData>
            </a:graphic>
          </wp:inline>
        </w:drawing>
      </w:r>
    </w:p>
    <w:p>
      <w:pPr>
        <w:pStyle w:val="136"/>
        <w:jc w:val="center"/>
      </w:pPr>
      <w:bookmarkStart w:id="56" w:name="_Toc196816845"/>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4</w:t>
      </w:r>
      <w:r>
        <w:fldChar w:fldCharType="end"/>
      </w:r>
      <w:r>
        <w:rPr>
          <w:rFonts w:hint="eastAsia"/>
        </w:rPr>
        <w:t xml:space="preserve"> 端子与电线连接示意图俯视图</w:t>
      </w:r>
      <w:bookmarkEnd w:id="56"/>
    </w:p>
    <w:p>
      <w:pPr>
        <w:pStyle w:val="80"/>
        <w:ind w:firstLine="420"/>
      </w:pPr>
    </w:p>
    <w:p>
      <w:pPr>
        <w:pStyle w:val="134"/>
        <w:numPr>
          <w:ilvl w:val="0"/>
          <w:numId w:val="2"/>
        </w:numPr>
        <w:spacing w:before="156" w:after="156"/>
        <w:ind w:left="0"/>
      </w:pPr>
      <w:bookmarkStart w:id="57" w:name="_Toc197351966"/>
      <w:r>
        <w:t>端子与电线连接的拉力值</w:t>
      </w:r>
      <w:bookmarkEnd w:id="57"/>
    </w:p>
    <w:tbl>
      <w:tblPr>
        <w:tblStyle w:val="30"/>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2844"/>
        <w:gridCol w:w="2130"/>
        <w:gridCol w:w="2131"/>
        <w:gridCol w:w="213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844"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导体公称截面积</w:t>
            </w:r>
          </w:p>
          <w:p>
            <w:pPr>
              <w:pStyle w:val="28"/>
              <w:spacing w:before="0" w:beforeAutospacing="0" w:after="0" w:afterAutospacing="0"/>
              <w:jc w:val="center"/>
              <w:rPr>
                <w:rFonts w:hint="eastAsia" w:cs="Arial"/>
                <w:color w:val="auto"/>
                <w:sz w:val="18"/>
                <w:szCs w:val="18"/>
              </w:rPr>
            </w:pPr>
            <w:r>
              <w:rPr>
                <w:rFonts w:cs="Arial"/>
                <w:color w:val="auto"/>
                <w:sz w:val="18"/>
                <w:szCs w:val="18"/>
              </w:rPr>
              <w:t>mm</w:t>
            </w:r>
            <w:r>
              <w:rPr>
                <w:rFonts w:cs="Arial"/>
                <w:color w:val="auto"/>
                <w:sz w:val="18"/>
                <w:szCs w:val="18"/>
                <w:vertAlign w:val="superscript"/>
              </w:rPr>
              <w:t>2</w:t>
            </w:r>
          </w:p>
        </w:tc>
        <w:tc>
          <w:tcPr>
            <w:tcW w:w="2130"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拉力</w:t>
            </w:r>
          </w:p>
          <w:p>
            <w:pPr>
              <w:pStyle w:val="28"/>
              <w:spacing w:before="0" w:beforeAutospacing="0" w:after="0" w:afterAutospacing="0"/>
              <w:jc w:val="center"/>
              <w:rPr>
                <w:rFonts w:hint="eastAsia" w:cs="Arial"/>
                <w:color w:val="auto"/>
                <w:sz w:val="18"/>
                <w:szCs w:val="18"/>
              </w:rPr>
            </w:pPr>
            <w:r>
              <w:rPr>
                <w:rFonts w:cs="Arial"/>
                <w:color w:val="auto"/>
                <w:sz w:val="18"/>
                <w:szCs w:val="18"/>
              </w:rPr>
              <w:t>N</w:t>
            </w:r>
          </w:p>
        </w:tc>
        <w:tc>
          <w:tcPr>
            <w:tcW w:w="2131"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导体公称截面积</w:t>
            </w:r>
          </w:p>
          <w:p>
            <w:pPr>
              <w:pStyle w:val="28"/>
              <w:spacing w:before="0" w:beforeAutospacing="0" w:after="0" w:afterAutospacing="0"/>
              <w:jc w:val="center"/>
              <w:rPr>
                <w:rFonts w:hint="eastAsia" w:cs="Arial"/>
                <w:color w:val="auto"/>
                <w:sz w:val="18"/>
                <w:szCs w:val="18"/>
              </w:rPr>
            </w:pPr>
            <w:r>
              <w:rPr>
                <w:rFonts w:cs="Arial"/>
                <w:color w:val="auto"/>
                <w:sz w:val="18"/>
                <w:szCs w:val="18"/>
              </w:rPr>
              <w:t>mm</w:t>
            </w:r>
            <w:r>
              <w:rPr>
                <w:rFonts w:cs="Arial"/>
                <w:color w:val="auto"/>
                <w:sz w:val="18"/>
                <w:szCs w:val="18"/>
                <w:vertAlign w:val="superscript"/>
              </w:rPr>
              <w:t>2</w:t>
            </w:r>
          </w:p>
        </w:tc>
        <w:tc>
          <w:tcPr>
            <w:tcW w:w="2131"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拉力</w:t>
            </w:r>
          </w:p>
          <w:p>
            <w:pPr>
              <w:pStyle w:val="28"/>
              <w:spacing w:before="0" w:beforeAutospacing="0" w:after="0" w:afterAutospacing="0"/>
              <w:jc w:val="center"/>
              <w:rPr>
                <w:rFonts w:hint="eastAsia" w:cs="Arial"/>
                <w:color w:val="auto"/>
                <w:sz w:val="18"/>
                <w:szCs w:val="18"/>
              </w:rPr>
            </w:pPr>
            <w:r>
              <w:rPr>
                <w:rFonts w:cs="Arial"/>
                <w:color w:val="auto"/>
                <w:sz w:val="18"/>
                <w:szCs w:val="18"/>
              </w:rPr>
              <w:t>N</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844"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0.</w:t>
            </w:r>
            <w:r>
              <w:rPr>
                <w:rFonts w:hint="eastAsia" w:cs="Arial"/>
                <w:color w:val="auto"/>
                <w:sz w:val="18"/>
                <w:szCs w:val="18"/>
              </w:rPr>
              <w:t>22</w:t>
            </w:r>
          </w:p>
        </w:tc>
        <w:tc>
          <w:tcPr>
            <w:tcW w:w="2130"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hint="eastAsia" w:cs="Arial"/>
                <w:color w:val="auto"/>
                <w:sz w:val="18"/>
                <w:szCs w:val="18"/>
              </w:rPr>
              <w:t>3</w:t>
            </w:r>
            <w:r>
              <w:rPr>
                <w:rFonts w:cs="Arial"/>
                <w:color w:val="auto"/>
                <w:sz w:val="18"/>
                <w:szCs w:val="18"/>
              </w:rPr>
              <w:t>0</w:t>
            </w:r>
          </w:p>
        </w:tc>
        <w:tc>
          <w:tcPr>
            <w:tcW w:w="2131"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hint="eastAsia" w:cs="Arial"/>
                <w:color w:val="auto"/>
                <w:sz w:val="18"/>
                <w:szCs w:val="18"/>
              </w:rPr>
              <w:t>4</w:t>
            </w:r>
            <w:r>
              <w:rPr>
                <w:rFonts w:cs="Arial"/>
                <w:color w:val="auto"/>
                <w:sz w:val="18"/>
                <w:szCs w:val="18"/>
              </w:rPr>
              <w:t>.00</w:t>
            </w:r>
          </w:p>
        </w:tc>
        <w:tc>
          <w:tcPr>
            <w:tcW w:w="2131"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hint="eastAsia" w:cs="Arial"/>
                <w:color w:val="auto"/>
                <w:sz w:val="18"/>
                <w:szCs w:val="18"/>
              </w:rPr>
              <w:t>27</w:t>
            </w:r>
            <w:r>
              <w:rPr>
                <w:rFonts w:cs="Arial"/>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844"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0.35</w:t>
            </w:r>
          </w:p>
        </w:tc>
        <w:tc>
          <w:tcPr>
            <w:tcW w:w="2130"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50</w:t>
            </w:r>
          </w:p>
        </w:tc>
        <w:tc>
          <w:tcPr>
            <w:tcW w:w="2131"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5.0</w:t>
            </w:r>
          </w:p>
        </w:tc>
        <w:tc>
          <w:tcPr>
            <w:tcW w:w="2131"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360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844"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0.5</w:t>
            </w:r>
          </w:p>
        </w:tc>
        <w:tc>
          <w:tcPr>
            <w:tcW w:w="2130"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70</w:t>
            </w:r>
          </w:p>
        </w:tc>
        <w:tc>
          <w:tcPr>
            <w:tcW w:w="213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6.0</w:t>
            </w:r>
          </w:p>
        </w:tc>
        <w:tc>
          <w:tcPr>
            <w:tcW w:w="213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450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844"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0.75</w:t>
            </w:r>
          </w:p>
        </w:tc>
        <w:tc>
          <w:tcPr>
            <w:tcW w:w="2130"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80</w:t>
            </w:r>
          </w:p>
        </w:tc>
        <w:tc>
          <w:tcPr>
            <w:tcW w:w="213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10.0</w:t>
            </w:r>
          </w:p>
        </w:tc>
        <w:tc>
          <w:tcPr>
            <w:tcW w:w="213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500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844"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1.0</w:t>
            </w:r>
          </w:p>
        </w:tc>
        <w:tc>
          <w:tcPr>
            <w:tcW w:w="2130"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110</w:t>
            </w:r>
          </w:p>
        </w:tc>
        <w:tc>
          <w:tcPr>
            <w:tcW w:w="213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16.0</w:t>
            </w:r>
          </w:p>
        </w:tc>
        <w:tc>
          <w:tcPr>
            <w:tcW w:w="213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1500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844"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1.5</w:t>
            </w:r>
          </w:p>
        </w:tc>
        <w:tc>
          <w:tcPr>
            <w:tcW w:w="2130"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150</w:t>
            </w:r>
          </w:p>
        </w:tc>
        <w:tc>
          <w:tcPr>
            <w:tcW w:w="213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25.0</w:t>
            </w:r>
          </w:p>
        </w:tc>
        <w:tc>
          <w:tcPr>
            <w:tcW w:w="213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1900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844"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2.0</w:t>
            </w:r>
          </w:p>
        </w:tc>
        <w:tc>
          <w:tcPr>
            <w:tcW w:w="2130"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195</w:t>
            </w:r>
          </w:p>
        </w:tc>
        <w:tc>
          <w:tcPr>
            <w:tcW w:w="213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35.0</w:t>
            </w:r>
          </w:p>
        </w:tc>
        <w:tc>
          <w:tcPr>
            <w:tcW w:w="213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2200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844" w:type="dxa"/>
            <w:tcBorders>
              <w:top w:val="single" w:color="000000" w:sz="6" w:space="0"/>
              <w:bottom w:val="single" w:color="000000" w:sz="12" w:space="0"/>
            </w:tcBorders>
          </w:tcPr>
          <w:p>
            <w:pPr>
              <w:pStyle w:val="28"/>
              <w:spacing w:line="300" w:lineRule="atLeast"/>
              <w:jc w:val="center"/>
              <w:rPr>
                <w:rFonts w:hint="eastAsia" w:cs="Arial"/>
                <w:color w:val="auto"/>
                <w:sz w:val="18"/>
                <w:szCs w:val="18"/>
              </w:rPr>
            </w:pPr>
            <w:r>
              <w:rPr>
                <w:rFonts w:hint="eastAsia" w:cs="Arial"/>
                <w:color w:val="auto"/>
                <w:sz w:val="18"/>
                <w:szCs w:val="18"/>
              </w:rPr>
              <w:t>3</w:t>
            </w:r>
            <w:r>
              <w:rPr>
                <w:rFonts w:cs="Arial"/>
                <w:color w:val="auto"/>
                <w:sz w:val="18"/>
                <w:szCs w:val="18"/>
              </w:rPr>
              <w:t>.00</w:t>
            </w:r>
          </w:p>
        </w:tc>
        <w:tc>
          <w:tcPr>
            <w:tcW w:w="2130" w:type="dxa"/>
            <w:tcBorders>
              <w:top w:val="single" w:color="000000" w:sz="6" w:space="0"/>
              <w:bottom w:val="single" w:color="000000" w:sz="12" w:space="0"/>
            </w:tcBorders>
          </w:tcPr>
          <w:p>
            <w:pPr>
              <w:pStyle w:val="28"/>
              <w:spacing w:line="300" w:lineRule="atLeast"/>
              <w:jc w:val="center"/>
              <w:rPr>
                <w:rFonts w:hint="eastAsia" w:cs="Arial"/>
                <w:color w:val="auto"/>
                <w:sz w:val="18"/>
                <w:szCs w:val="18"/>
              </w:rPr>
            </w:pPr>
            <w:r>
              <w:rPr>
                <w:rFonts w:hint="eastAsia" w:cs="Arial"/>
                <w:color w:val="auto"/>
                <w:sz w:val="18"/>
                <w:szCs w:val="18"/>
              </w:rPr>
              <w:t>26</w:t>
            </w:r>
            <w:r>
              <w:rPr>
                <w:rFonts w:cs="Arial"/>
                <w:color w:val="auto"/>
                <w:sz w:val="18"/>
                <w:szCs w:val="18"/>
              </w:rPr>
              <w:t>0</w:t>
            </w:r>
          </w:p>
        </w:tc>
        <w:tc>
          <w:tcPr>
            <w:tcW w:w="2131" w:type="dxa"/>
            <w:tcBorders>
              <w:top w:val="single" w:color="000000" w:sz="6" w:space="0"/>
              <w:bottom w:val="single" w:color="000000" w:sz="12" w:space="0"/>
            </w:tcBorders>
          </w:tcPr>
          <w:p>
            <w:pPr>
              <w:pStyle w:val="28"/>
              <w:spacing w:line="300" w:lineRule="atLeast"/>
              <w:jc w:val="center"/>
              <w:rPr>
                <w:rFonts w:hint="eastAsia" w:cs="Arial"/>
                <w:color w:val="auto"/>
                <w:sz w:val="18"/>
                <w:szCs w:val="18"/>
              </w:rPr>
            </w:pPr>
          </w:p>
        </w:tc>
        <w:tc>
          <w:tcPr>
            <w:tcW w:w="2131" w:type="dxa"/>
            <w:tcBorders>
              <w:top w:val="single" w:color="000000" w:sz="6" w:space="0"/>
              <w:bottom w:val="single" w:color="000000" w:sz="12" w:space="0"/>
            </w:tcBorders>
          </w:tcPr>
          <w:p>
            <w:pPr>
              <w:pStyle w:val="28"/>
              <w:spacing w:line="300" w:lineRule="atLeast"/>
              <w:jc w:val="center"/>
              <w:rPr>
                <w:rFonts w:hint="eastAsia" w:cs="Arial"/>
                <w:color w:val="auto"/>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236" w:type="dxa"/>
            <w:gridSpan w:val="4"/>
            <w:tcBorders>
              <w:top w:val="single" w:color="000000" w:sz="12" w:space="0"/>
            </w:tcBorders>
          </w:tcPr>
          <w:p>
            <w:pPr>
              <w:pStyle w:val="272"/>
              <w:numPr>
                <w:ilvl w:val="0"/>
                <w:numId w:val="26"/>
              </w:numPr>
              <w:ind w:left="726" w:hanging="363"/>
              <w:rPr>
                <w:rFonts w:hint="eastAsia" w:hAnsi="宋体" w:cs="Arial"/>
              </w:rPr>
            </w:pPr>
            <w:r>
              <w:rPr>
                <w:rFonts w:hAnsi="宋体" w:cs="Arial"/>
              </w:rPr>
              <w:t>接点或一个端子同时连接两根或两根以上电线时，选择截面较小的电线测量拉力。</w:t>
            </w:r>
          </w:p>
        </w:tc>
      </w:tr>
    </w:tbl>
    <w:p>
      <w:pPr>
        <w:pStyle w:val="134"/>
        <w:spacing w:before="156" w:after="156"/>
        <w:rPr>
          <w:rFonts w:hint="eastAsia" w:ascii="宋体" w:hAnsi="宋体" w:eastAsia="宋体"/>
          <w:sz w:val="18"/>
          <w:szCs w:val="18"/>
        </w:rPr>
      </w:pPr>
    </w:p>
    <w:p>
      <w:pPr>
        <w:pStyle w:val="134"/>
        <w:numPr>
          <w:ilvl w:val="0"/>
          <w:numId w:val="2"/>
        </w:numPr>
        <w:spacing w:before="156" w:after="156"/>
        <w:ind w:left="0"/>
      </w:pPr>
      <w:bookmarkStart w:id="58" w:name="_Toc197351967"/>
      <w:r>
        <w:t>端子与电线连接处的电压降</w:t>
      </w:r>
      <w:bookmarkEnd w:id="58"/>
    </w:p>
    <w:tbl>
      <w:tblPr>
        <w:tblStyle w:val="30"/>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2093"/>
        <w:gridCol w:w="1276"/>
        <w:gridCol w:w="1417"/>
        <w:gridCol w:w="1670"/>
        <w:gridCol w:w="1421"/>
        <w:gridCol w:w="142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093"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导体公称截面积mm</w:t>
            </w:r>
            <w:r>
              <w:rPr>
                <w:rFonts w:cs="Arial"/>
                <w:color w:val="auto"/>
                <w:sz w:val="18"/>
                <w:szCs w:val="18"/>
                <w:vertAlign w:val="superscript"/>
              </w:rPr>
              <w:t>2</w:t>
            </w:r>
          </w:p>
        </w:tc>
        <w:tc>
          <w:tcPr>
            <w:tcW w:w="1276"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试验电流     A</w:t>
            </w:r>
          </w:p>
        </w:tc>
        <w:tc>
          <w:tcPr>
            <w:tcW w:w="1417"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 xml:space="preserve">电压降     </w:t>
            </w:r>
            <w:r>
              <w:rPr>
                <w:rFonts w:hint="eastAsia" w:cs="Arial"/>
                <w:color w:val="auto"/>
                <w:sz w:val="18"/>
                <w:szCs w:val="18"/>
              </w:rPr>
              <w:t xml:space="preserve"> </w:t>
            </w:r>
            <w:r>
              <w:rPr>
                <w:rFonts w:cs="Arial"/>
                <w:color w:val="auto"/>
                <w:sz w:val="18"/>
                <w:szCs w:val="18"/>
              </w:rPr>
              <w:t>mV</w:t>
            </w:r>
          </w:p>
        </w:tc>
        <w:tc>
          <w:tcPr>
            <w:tcW w:w="1670"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导体公称截面积</w:t>
            </w:r>
          </w:p>
          <w:p>
            <w:pPr>
              <w:pStyle w:val="28"/>
              <w:spacing w:before="0" w:beforeAutospacing="0" w:after="0" w:afterAutospacing="0"/>
              <w:jc w:val="center"/>
              <w:rPr>
                <w:rFonts w:hint="eastAsia" w:cs="Arial"/>
                <w:color w:val="auto"/>
                <w:sz w:val="18"/>
                <w:szCs w:val="18"/>
              </w:rPr>
            </w:pPr>
            <w:r>
              <w:rPr>
                <w:rFonts w:cs="Arial"/>
                <w:color w:val="auto"/>
                <w:sz w:val="18"/>
                <w:szCs w:val="18"/>
              </w:rPr>
              <w:t>mm</w:t>
            </w:r>
            <w:r>
              <w:rPr>
                <w:rFonts w:cs="Arial"/>
                <w:color w:val="auto"/>
                <w:sz w:val="18"/>
                <w:szCs w:val="18"/>
                <w:vertAlign w:val="superscript"/>
              </w:rPr>
              <w:t>2</w:t>
            </w:r>
          </w:p>
        </w:tc>
        <w:tc>
          <w:tcPr>
            <w:tcW w:w="1421"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试验电流     A</w:t>
            </w:r>
          </w:p>
        </w:tc>
        <w:tc>
          <w:tcPr>
            <w:tcW w:w="1421"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电压降</w:t>
            </w:r>
            <w:r>
              <w:rPr>
                <w:rFonts w:cs="Arial"/>
                <w:color w:val="auto"/>
                <w:kern w:val="2"/>
                <w:sz w:val="18"/>
                <w:szCs w:val="18"/>
                <w:vertAlign w:val="superscript"/>
              </w:rPr>
              <w:t xml:space="preserve">a </w:t>
            </w:r>
            <w:r>
              <w:rPr>
                <w:rFonts w:cs="Arial"/>
                <w:color w:val="auto"/>
                <w:sz w:val="18"/>
                <w:szCs w:val="18"/>
              </w:rPr>
              <w:t xml:space="preserve">   </w:t>
            </w:r>
            <w:r>
              <w:rPr>
                <w:rFonts w:hint="eastAsia" w:cs="Arial"/>
                <w:color w:val="auto"/>
                <w:sz w:val="18"/>
                <w:szCs w:val="18"/>
              </w:rPr>
              <w:t xml:space="preserve"> </w:t>
            </w:r>
            <w:r>
              <w:rPr>
                <w:rFonts w:cs="Arial"/>
                <w:color w:val="auto"/>
                <w:sz w:val="18"/>
                <w:szCs w:val="18"/>
              </w:rPr>
              <w:t xml:space="preserve"> mV</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093"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0.35</w:t>
            </w:r>
          </w:p>
        </w:tc>
        <w:tc>
          <w:tcPr>
            <w:tcW w:w="1276"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3</w:t>
            </w:r>
          </w:p>
        </w:tc>
        <w:tc>
          <w:tcPr>
            <w:tcW w:w="1417"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2.5</w:t>
            </w:r>
          </w:p>
        </w:tc>
        <w:tc>
          <w:tcPr>
            <w:tcW w:w="1670"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6.00</w:t>
            </w:r>
          </w:p>
        </w:tc>
        <w:tc>
          <w:tcPr>
            <w:tcW w:w="1421"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40</w:t>
            </w:r>
          </w:p>
        </w:tc>
        <w:tc>
          <w:tcPr>
            <w:tcW w:w="1421" w:type="dxa"/>
            <w:tcBorders>
              <w:top w:val="single" w:color="000000" w:sz="12"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093"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0.50</w:t>
            </w:r>
          </w:p>
        </w:tc>
        <w:tc>
          <w:tcPr>
            <w:tcW w:w="1276"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5</w:t>
            </w:r>
          </w:p>
        </w:tc>
        <w:tc>
          <w:tcPr>
            <w:tcW w:w="1417"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3</w:t>
            </w:r>
          </w:p>
        </w:tc>
        <w:tc>
          <w:tcPr>
            <w:tcW w:w="1670" w:type="dxa"/>
            <w:tcBorders>
              <w:top w:val="single" w:color="000000" w:sz="6" w:space="0"/>
              <w:bottom w:val="single" w:color="000000" w:sz="6" w:space="0"/>
            </w:tcBorders>
          </w:tcPr>
          <w:p>
            <w:pPr>
              <w:pStyle w:val="192"/>
              <w:numPr>
                <w:ilvl w:val="0"/>
                <w:numId w:val="0"/>
              </w:numPr>
              <w:spacing w:before="156" w:after="156"/>
              <w:ind w:left="363"/>
              <w:rPr>
                <w:rFonts w:hint="eastAsia" w:hAnsi="宋体" w:cs="Arial"/>
                <w:kern w:val="0"/>
              </w:rPr>
            </w:pPr>
            <w:r>
              <w:rPr>
                <w:rFonts w:hAnsi="宋体" w:cs="Arial"/>
                <w:kern w:val="0"/>
              </w:rPr>
              <w:t xml:space="preserve">  10.00 </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50</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093"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0.75</w:t>
            </w:r>
          </w:p>
        </w:tc>
        <w:tc>
          <w:tcPr>
            <w:tcW w:w="1276"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10</w:t>
            </w:r>
          </w:p>
        </w:tc>
        <w:tc>
          <w:tcPr>
            <w:tcW w:w="1417"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5</w:t>
            </w:r>
          </w:p>
        </w:tc>
        <w:tc>
          <w:tcPr>
            <w:tcW w:w="1670"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16.00</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60</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093"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1.00</w:t>
            </w:r>
          </w:p>
        </w:tc>
        <w:tc>
          <w:tcPr>
            <w:tcW w:w="1276"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15</w:t>
            </w:r>
          </w:p>
        </w:tc>
        <w:tc>
          <w:tcPr>
            <w:tcW w:w="1417"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8</w:t>
            </w:r>
          </w:p>
        </w:tc>
        <w:tc>
          <w:tcPr>
            <w:tcW w:w="1670"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25.00</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70</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18</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093"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1.50</w:t>
            </w:r>
          </w:p>
        </w:tc>
        <w:tc>
          <w:tcPr>
            <w:tcW w:w="1276"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20</w:t>
            </w:r>
          </w:p>
        </w:tc>
        <w:tc>
          <w:tcPr>
            <w:tcW w:w="1417"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11</w:t>
            </w:r>
          </w:p>
        </w:tc>
        <w:tc>
          <w:tcPr>
            <w:tcW w:w="1670"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35.00</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80</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093"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2.50</w:t>
            </w:r>
          </w:p>
        </w:tc>
        <w:tc>
          <w:tcPr>
            <w:tcW w:w="1276"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30</w:t>
            </w:r>
          </w:p>
        </w:tc>
        <w:tc>
          <w:tcPr>
            <w:tcW w:w="1417"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16</w:t>
            </w:r>
          </w:p>
        </w:tc>
        <w:tc>
          <w:tcPr>
            <w:tcW w:w="1670"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50.00</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90</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23</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2093"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4.00</w:t>
            </w:r>
          </w:p>
        </w:tc>
        <w:tc>
          <w:tcPr>
            <w:tcW w:w="1276"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35</w:t>
            </w:r>
          </w:p>
        </w:tc>
        <w:tc>
          <w:tcPr>
            <w:tcW w:w="1417"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18</w:t>
            </w:r>
          </w:p>
        </w:tc>
        <w:tc>
          <w:tcPr>
            <w:tcW w:w="1670"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70.00</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100</w:t>
            </w:r>
          </w:p>
        </w:tc>
        <w:tc>
          <w:tcPr>
            <w:tcW w:w="1421" w:type="dxa"/>
            <w:tcBorders>
              <w:top w:val="single" w:color="000000" w:sz="6" w:space="0"/>
              <w:bottom w:val="single" w:color="000000" w:sz="6" w:space="0"/>
            </w:tcBorders>
          </w:tcPr>
          <w:p>
            <w:pPr>
              <w:pStyle w:val="28"/>
              <w:spacing w:line="300" w:lineRule="atLeast"/>
              <w:jc w:val="center"/>
              <w:rPr>
                <w:rFonts w:hint="eastAsia" w:cs="Arial"/>
                <w:color w:val="auto"/>
                <w:sz w:val="18"/>
                <w:szCs w:val="18"/>
              </w:rPr>
            </w:pPr>
            <w:r>
              <w:rPr>
                <w:rFonts w:cs="Arial"/>
                <w:color w:val="auto"/>
                <w:sz w:val="18"/>
                <w:szCs w:val="18"/>
              </w:rPr>
              <w:t>25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298" w:type="dxa"/>
            <w:gridSpan w:val="6"/>
            <w:tcBorders>
              <w:top w:val="single" w:color="000000" w:sz="12" w:space="0"/>
            </w:tcBorders>
          </w:tcPr>
          <w:p>
            <w:pPr>
              <w:pStyle w:val="272"/>
              <w:numPr>
                <w:ilvl w:val="0"/>
                <w:numId w:val="26"/>
              </w:numPr>
              <w:ind w:left="726" w:hanging="363"/>
              <w:rPr>
                <w:rFonts w:hint="eastAsia" w:hAnsi="宋体" w:cs="Arial"/>
              </w:rPr>
            </w:pPr>
            <w:r>
              <w:rPr>
                <w:rFonts w:hAnsi="宋体" w:cs="Arial"/>
                <w:vertAlign w:val="superscript"/>
              </w:rPr>
              <w:t xml:space="preserve">a </w:t>
            </w:r>
            <w:r>
              <w:rPr>
                <w:rFonts w:hAnsi="宋体" w:cs="Arial"/>
              </w:rPr>
              <w:t xml:space="preserve"> 腐蚀试验后，电压降不能超过腐蚀前电压降的1.5倍。</w:t>
            </w:r>
          </w:p>
          <w:p>
            <w:pPr>
              <w:pStyle w:val="40"/>
              <w:ind w:firstLine="735" w:firstLineChars="350"/>
              <w:rPr>
                <w:rFonts w:hint="eastAsia" w:hAnsi="宋体" w:cs="Arial"/>
              </w:rPr>
            </w:pPr>
            <w:r>
              <w:rPr>
                <w:rFonts w:hAnsi="宋体" w:cs="Arial"/>
                <w:vertAlign w:val="superscript"/>
              </w:rPr>
              <w:t xml:space="preserve">b  </w:t>
            </w:r>
            <w:r>
              <w:rPr>
                <w:rFonts w:hint="eastAsia" w:hAnsi="宋体" w:cs="Arial"/>
                <w:sz w:val="18"/>
                <w:szCs w:val="18"/>
              </w:rPr>
              <w:t>试验</w:t>
            </w:r>
            <w:r>
              <w:rPr>
                <w:rFonts w:hAnsi="宋体" w:cs="Arial"/>
                <w:sz w:val="18"/>
                <w:szCs w:val="18"/>
              </w:rPr>
              <w:t>电压为12</w:t>
            </w:r>
            <w:r>
              <w:rPr>
                <w:rFonts w:hint="eastAsia" w:hAnsi="宋体" w:cs="Arial"/>
                <w:sz w:val="18"/>
                <w:szCs w:val="18"/>
              </w:rPr>
              <w:t>V\</w:t>
            </w:r>
            <w:r>
              <w:rPr>
                <w:rFonts w:hAnsi="宋体" w:cs="Arial"/>
                <w:sz w:val="18"/>
                <w:szCs w:val="18"/>
              </w:rPr>
              <w:t>24</w:t>
            </w:r>
            <w:r>
              <w:rPr>
                <w:rFonts w:hint="eastAsia" w:hAnsi="宋体" w:cs="Arial"/>
                <w:sz w:val="18"/>
                <w:szCs w:val="18"/>
              </w:rPr>
              <w:t>V</w:t>
            </w:r>
            <w:r>
              <w:rPr>
                <w:rFonts w:hAnsi="宋体" w:cs="Arial"/>
                <w:sz w:val="18"/>
                <w:szCs w:val="18"/>
              </w:rPr>
              <w:t>。</w:t>
            </w:r>
          </w:p>
        </w:tc>
      </w:tr>
    </w:tbl>
    <w:p>
      <w:pPr>
        <w:pStyle w:val="40"/>
      </w:pPr>
      <w:bookmarkStart w:id="59" w:name="_Toc323892717"/>
      <w:bookmarkStart w:id="60" w:name="_Toc323892862"/>
      <w:bookmarkStart w:id="61" w:name="_Toc323892988"/>
      <w:bookmarkStart w:id="62" w:name="_Toc323893865"/>
    </w:p>
    <w:p>
      <w:pPr>
        <w:pStyle w:val="134"/>
        <w:numPr>
          <w:ilvl w:val="0"/>
          <w:numId w:val="2"/>
        </w:numPr>
        <w:spacing w:before="156" w:after="156"/>
        <w:ind w:left="0" w:firstLine="420"/>
      </w:pPr>
      <w:bookmarkStart w:id="63" w:name="_Toc197351968"/>
      <w:r>
        <w:t>端子与电线连接处的</w:t>
      </w:r>
      <w:r>
        <w:rPr>
          <w:rFonts w:hint="eastAsia"/>
        </w:rPr>
        <w:t>接触电阻</w:t>
      </w:r>
      <w:bookmarkEnd w:id="63"/>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5"/>
        <w:gridCol w:w="1828"/>
        <w:gridCol w:w="2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pPr>
              <w:pStyle w:val="28"/>
              <w:spacing w:before="0" w:beforeAutospacing="0" w:after="0" w:afterAutospacing="0"/>
              <w:jc w:val="center"/>
              <w:rPr>
                <w:rFonts w:hint="eastAsia" w:cs="Arial"/>
                <w:color w:val="auto"/>
                <w:sz w:val="18"/>
                <w:szCs w:val="18"/>
              </w:rPr>
            </w:pPr>
            <w:r>
              <w:rPr>
                <w:rFonts w:cs="Arial"/>
                <w:color w:val="auto"/>
                <w:sz w:val="18"/>
                <w:szCs w:val="18"/>
              </w:rPr>
              <w:t>导体公称截面积mm</w:t>
            </w:r>
            <w:r>
              <w:rPr>
                <w:rFonts w:cs="Arial"/>
                <w:color w:val="auto"/>
                <w:sz w:val="18"/>
                <w:szCs w:val="18"/>
                <w:vertAlign w:val="superscript"/>
              </w:rPr>
              <w:t>2</w:t>
            </w:r>
          </w:p>
        </w:tc>
        <w:tc>
          <w:tcPr>
            <w:tcW w:w="1828" w:type="dxa"/>
          </w:tcPr>
          <w:p>
            <w:pPr>
              <w:pStyle w:val="28"/>
              <w:spacing w:before="0" w:beforeAutospacing="0" w:after="0" w:afterAutospacing="0"/>
              <w:jc w:val="center"/>
              <w:rPr>
                <w:rFonts w:hint="eastAsia" w:cs="Arial"/>
                <w:color w:val="auto"/>
                <w:sz w:val="18"/>
                <w:szCs w:val="18"/>
              </w:rPr>
            </w:pPr>
            <w:r>
              <w:rPr>
                <w:rFonts w:hint="eastAsia" w:cs="Arial"/>
                <w:color w:val="auto"/>
                <w:sz w:val="18"/>
                <w:szCs w:val="18"/>
              </w:rPr>
              <w:t>最大初始电阻</w:t>
            </w:r>
            <w:r>
              <w:rPr>
                <w:rFonts w:cs="Arial"/>
                <w:color w:val="auto"/>
                <w:sz w:val="18"/>
                <w:szCs w:val="18"/>
              </w:rPr>
              <w:t xml:space="preserve">     </w:t>
            </w:r>
            <w:r>
              <w:rPr>
                <w:rFonts w:hint="eastAsia" w:cs="Arial"/>
                <w:color w:val="auto"/>
                <w:sz w:val="18"/>
                <w:szCs w:val="18"/>
              </w:rPr>
              <w:t>mΩ</w:t>
            </w:r>
          </w:p>
        </w:tc>
        <w:tc>
          <w:tcPr>
            <w:tcW w:w="2561" w:type="dxa"/>
          </w:tcPr>
          <w:p>
            <w:pPr>
              <w:pStyle w:val="28"/>
              <w:spacing w:before="0" w:beforeAutospacing="0" w:after="0" w:afterAutospacing="0"/>
              <w:jc w:val="center"/>
              <w:rPr>
                <w:rFonts w:hint="eastAsia" w:cs="Arial"/>
                <w:color w:val="auto"/>
                <w:sz w:val="18"/>
                <w:szCs w:val="18"/>
              </w:rPr>
            </w:pPr>
            <w:r>
              <w:rPr>
                <w:rFonts w:hint="eastAsia" w:cs="Arial"/>
                <w:color w:val="auto"/>
                <w:sz w:val="18"/>
                <w:szCs w:val="18"/>
              </w:rPr>
              <w:t>测试后最大电阻</w:t>
            </w:r>
            <w:r>
              <w:rPr>
                <w:rFonts w:cs="Arial"/>
                <w:color w:val="auto"/>
                <w:sz w:val="18"/>
                <w:szCs w:val="18"/>
              </w:rPr>
              <w:t xml:space="preserve">     </w:t>
            </w:r>
          </w:p>
          <w:p>
            <w:pPr>
              <w:pStyle w:val="28"/>
              <w:spacing w:before="0" w:beforeAutospacing="0" w:after="0" w:afterAutospacing="0"/>
              <w:jc w:val="center"/>
              <w:rPr>
                <w:rFonts w:hint="eastAsia" w:cs="Arial"/>
                <w:color w:val="auto"/>
                <w:sz w:val="18"/>
                <w:szCs w:val="18"/>
              </w:rPr>
            </w:pPr>
            <w:r>
              <w:rPr>
                <w:rFonts w:hint="eastAsia" w:cs="Arial"/>
                <w:color w:val="auto"/>
                <w:sz w:val="18"/>
                <w:szCs w:val="18"/>
              </w:rPr>
              <w:t xml:space="preserve"> </w:t>
            </w:r>
            <w:r>
              <w:rPr>
                <w:rFonts w:cs="Arial"/>
                <w:color w:val="auto"/>
                <w:sz w:val="18"/>
                <w:szCs w:val="18"/>
              </w:rPr>
              <w:t>m</w:t>
            </w:r>
            <w:r>
              <w:rPr>
                <w:rFonts w:hint="eastAsia" w:cs="Arial"/>
                <w:color w:val="auto"/>
                <w:sz w:val="18"/>
                <w:szCs w:val="18"/>
              </w:rPr>
              <w:t>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pPr>
              <w:pStyle w:val="28"/>
              <w:spacing w:line="300" w:lineRule="atLeast"/>
              <w:jc w:val="center"/>
              <w:rPr>
                <w:rFonts w:hint="eastAsia" w:cs="Arial"/>
                <w:color w:val="auto"/>
                <w:sz w:val="18"/>
                <w:szCs w:val="18"/>
              </w:rPr>
            </w:pPr>
            <w:r>
              <w:rPr>
                <w:rFonts w:cs="Arial"/>
                <w:color w:val="auto"/>
                <w:sz w:val="18"/>
                <w:szCs w:val="18"/>
              </w:rPr>
              <w:t>0.</w:t>
            </w:r>
            <w:r>
              <w:rPr>
                <w:rFonts w:hint="eastAsia" w:cs="Arial"/>
                <w:color w:val="auto"/>
                <w:sz w:val="18"/>
                <w:szCs w:val="18"/>
              </w:rPr>
              <w:t>7</w:t>
            </w:r>
            <w:r>
              <w:rPr>
                <w:rFonts w:cs="Arial"/>
                <w:color w:val="auto"/>
                <w:sz w:val="18"/>
                <w:szCs w:val="18"/>
              </w:rPr>
              <w:t>5</w:t>
            </w:r>
          </w:p>
        </w:tc>
        <w:tc>
          <w:tcPr>
            <w:tcW w:w="1828" w:type="dxa"/>
          </w:tcPr>
          <w:p>
            <w:pPr>
              <w:pStyle w:val="28"/>
              <w:spacing w:line="300" w:lineRule="atLeast"/>
              <w:jc w:val="center"/>
              <w:rPr>
                <w:rFonts w:hint="eastAsia" w:cs="Arial"/>
                <w:color w:val="auto"/>
                <w:sz w:val="18"/>
                <w:szCs w:val="18"/>
              </w:rPr>
            </w:pPr>
            <w:r>
              <w:rPr>
                <w:rFonts w:hint="eastAsia" w:cs="Arial"/>
                <w:color w:val="auto"/>
                <w:sz w:val="18"/>
                <w:szCs w:val="18"/>
              </w:rPr>
              <w:t>2.2</w:t>
            </w:r>
          </w:p>
        </w:tc>
        <w:tc>
          <w:tcPr>
            <w:tcW w:w="2561" w:type="dxa"/>
          </w:tcPr>
          <w:p>
            <w:pPr>
              <w:pStyle w:val="28"/>
              <w:spacing w:line="300" w:lineRule="atLeast"/>
              <w:jc w:val="center"/>
              <w:rPr>
                <w:rFonts w:hint="eastAsia" w:cs="Arial"/>
                <w:color w:val="auto"/>
                <w:sz w:val="18"/>
                <w:szCs w:val="18"/>
              </w:rPr>
            </w:pPr>
            <w:r>
              <w:rPr>
                <w:rFonts w:hint="eastAsia" w:cs="Arial"/>
                <w:color w:val="auto"/>
                <w:sz w:val="18"/>
                <w:szCs w:val="18"/>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pPr>
              <w:pStyle w:val="28"/>
              <w:spacing w:line="300" w:lineRule="atLeast"/>
              <w:jc w:val="center"/>
              <w:rPr>
                <w:rFonts w:hint="eastAsia" w:cs="Arial"/>
                <w:color w:val="auto"/>
                <w:sz w:val="18"/>
                <w:szCs w:val="18"/>
              </w:rPr>
            </w:pPr>
            <w:r>
              <w:rPr>
                <w:rFonts w:hint="eastAsia" w:cs="Arial"/>
                <w:color w:val="auto"/>
                <w:sz w:val="18"/>
                <w:szCs w:val="18"/>
              </w:rPr>
              <w:t>1.</w:t>
            </w:r>
            <w:r>
              <w:rPr>
                <w:rFonts w:cs="Arial"/>
                <w:color w:val="auto"/>
                <w:sz w:val="18"/>
                <w:szCs w:val="18"/>
              </w:rPr>
              <w:t>0</w:t>
            </w:r>
          </w:p>
        </w:tc>
        <w:tc>
          <w:tcPr>
            <w:tcW w:w="1828" w:type="dxa"/>
          </w:tcPr>
          <w:p>
            <w:pPr>
              <w:pStyle w:val="28"/>
              <w:spacing w:line="300" w:lineRule="atLeast"/>
              <w:jc w:val="center"/>
              <w:rPr>
                <w:rFonts w:hint="eastAsia" w:cs="Arial"/>
                <w:color w:val="auto"/>
                <w:sz w:val="18"/>
                <w:szCs w:val="18"/>
              </w:rPr>
            </w:pPr>
            <w:r>
              <w:rPr>
                <w:rFonts w:hint="eastAsia" w:cs="Arial"/>
                <w:color w:val="auto"/>
                <w:sz w:val="18"/>
                <w:szCs w:val="18"/>
              </w:rPr>
              <w:t>2.0</w:t>
            </w:r>
          </w:p>
        </w:tc>
        <w:tc>
          <w:tcPr>
            <w:tcW w:w="2561" w:type="dxa"/>
          </w:tcPr>
          <w:p>
            <w:pPr>
              <w:pStyle w:val="28"/>
              <w:spacing w:line="300" w:lineRule="atLeast"/>
              <w:jc w:val="center"/>
              <w:rPr>
                <w:rFonts w:hint="eastAsia" w:cs="Arial"/>
                <w:color w:val="auto"/>
                <w:sz w:val="18"/>
                <w:szCs w:val="18"/>
              </w:rPr>
            </w:pPr>
            <w:r>
              <w:rPr>
                <w:rFonts w:hint="eastAsia" w:cs="Arial"/>
                <w:color w:val="auto"/>
                <w:sz w:val="18"/>
                <w:szCs w:val="18"/>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pPr>
              <w:pStyle w:val="28"/>
              <w:spacing w:line="300" w:lineRule="atLeast"/>
              <w:jc w:val="center"/>
              <w:rPr>
                <w:rFonts w:hint="eastAsia" w:cs="Arial"/>
                <w:color w:val="auto"/>
                <w:sz w:val="18"/>
                <w:szCs w:val="18"/>
              </w:rPr>
            </w:pPr>
            <w:r>
              <w:rPr>
                <w:rFonts w:hint="eastAsia" w:cs="Arial"/>
                <w:color w:val="auto"/>
                <w:sz w:val="18"/>
                <w:szCs w:val="18"/>
              </w:rPr>
              <w:t>1.5</w:t>
            </w:r>
          </w:p>
        </w:tc>
        <w:tc>
          <w:tcPr>
            <w:tcW w:w="1828" w:type="dxa"/>
          </w:tcPr>
          <w:p>
            <w:pPr>
              <w:pStyle w:val="28"/>
              <w:spacing w:line="300" w:lineRule="atLeast"/>
              <w:jc w:val="center"/>
              <w:rPr>
                <w:rFonts w:hint="eastAsia" w:cs="Arial"/>
                <w:color w:val="auto"/>
                <w:sz w:val="18"/>
                <w:szCs w:val="18"/>
              </w:rPr>
            </w:pPr>
            <w:r>
              <w:rPr>
                <w:rFonts w:hint="eastAsia" w:cs="Arial"/>
                <w:color w:val="auto"/>
                <w:sz w:val="18"/>
                <w:szCs w:val="18"/>
              </w:rPr>
              <w:t>1.8</w:t>
            </w:r>
          </w:p>
        </w:tc>
        <w:tc>
          <w:tcPr>
            <w:tcW w:w="2561" w:type="dxa"/>
          </w:tcPr>
          <w:p>
            <w:pPr>
              <w:pStyle w:val="28"/>
              <w:spacing w:line="300" w:lineRule="atLeast"/>
              <w:jc w:val="center"/>
              <w:rPr>
                <w:rFonts w:hint="eastAsia" w:cs="Arial"/>
                <w:color w:val="auto"/>
                <w:sz w:val="18"/>
                <w:szCs w:val="18"/>
              </w:rPr>
            </w:pPr>
            <w:r>
              <w:rPr>
                <w:rFonts w:hint="eastAsia" w:cs="Arial"/>
                <w:color w:val="auto"/>
                <w:sz w:val="18"/>
                <w:szCs w:val="18"/>
              </w:rPr>
              <w:t>3.6</w:t>
            </w:r>
          </w:p>
        </w:tc>
      </w:tr>
    </w:tbl>
    <w:p>
      <w:pPr>
        <w:pStyle w:val="80"/>
        <w:ind w:firstLine="420"/>
      </w:pPr>
    </w:p>
    <w:p>
      <w:pPr>
        <w:pStyle w:val="127"/>
        <w:spacing w:before="156" w:after="156"/>
      </w:pPr>
      <w:bookmarkStart w:id="64" w:name="_Toc197519398"/>
      <w:r>
        <w:t>接点</w:t>
      </w:r>
      <w:bookmarkEnd w:id="59"/>
      <w:bookmarkEnd w:id="60"/>
      <w:bookmarkEnd w:id="61"/>
      <w:bookmarkEnd w:id="62"/>
      <w:bookmarkEnd w:id="64"/>
    </w:p>
    <w:p>
      <w:pPr>
        <w:pStyle w:val="184"/>
      </w:pPr>
      <w:r>
        <w:t>采用压接方法时，导体不应压断，接点横断面应符合附录A的要求。</w:t>
      </w:r>
    </w:p>
    <w:p>
      <w:pPr>
        <w:pStyle w:val="184"/>
      </w:pPr>
      <w:r>
        <w:t>采用无焊料焊接方法时，焊接处表面不允许出现氧化、断丝、缺损和绝缘层熔化现象，如图</w:t>
      </w:r>
      <w:r>
        <w:rPr>
          <w:rFonts w:hint="eastAsia"/>
        </w:rPr>
        <w:t>5</w:t>
      </w:r>
      <w:r>
        <w:t>所示，焊接与未焊接的过渡部位a区应呈圆弧状，且在b区可见未焊接的导体端部。</w:t>
      </w:r>
    </w:p>
    <w:p>
      <w:pPr>
        <w:pStyle w:val="184"/>
        <w:numPr>
          <w:ilvl w:val="0"/>
          <w:numId w:val="0"/>
        </w:numPr>
      </w:pPr>
    </w:p>
    <w:p>
      <w:pPr>
        <w:pStyle w:val="184"/>
      </w:pPr>
      <w:r>
        <w:t>接点应牢固，在规定的拉力下不应损伤和脱开，其拉力值应不小于表2规定。采用无焊料焊接方法时撕裂力应不小于表</w:t>
      </w:r>
      <w:r>
        <w:rPr>
          <w:rFonts w:hint="eastAsia"/>
        </w:rPr>
        <w:t>5</w:t>
      </w:r>
      <w:r>
        <w:t>的规定。</w:t>
      </w:r>
    </w:p>
    <w:p>
      <w:pPr>
        <w:pStyle w:val="184"/>
      </w:pPr>
      <w:r>
        <w:rPr>
          <w:rFonts w:hint="eastAsia"/>
        </w:rPr>
        <w:t>电</w:t>
      </w:r>
      <w:r>
        <w:t>线束</w:t>
      </w:r>
      <w:r>
        <w:rPr>
          <w:rFonts w:hint="eastAsia"/>
        </w:rPr>
        <w:t>（缸内线除外）</w:t>
      </w:r>
      <w:r>
        <w:t>接点的绝缘处理部位经防水试验后绝缘电阻不低于100MΩ。</w:t>
      </w:r>
    </w:p>
    <w:p>
      <w:pPr>
        <w:pStyle w:val="127"/>
        <w:spacing w:before="156" w:after="156"/>
      </w:pPr>
      <w:bookmarkStart w:id="65" w:name="_Toc197519399"/>
      <w:bookmarkStart w:id="66" w:name="_Toc323893866"/>
      <w:r>
        <w:t>密封塞的压接</w:t>
      </w:r>
      <w:bookmarkEnd w:id="65"/>
      <w:bookmarkEnd w:id="66"/>
    </w:p>
    <w:p>
      <w:pPr>
        <w:pStyle w:val="40"/>
        <w:rPr>
          <w:rFonts w:ascii="Arial" w:hAnsi="Arial" w:cs="Arial"/>
        </w:rPr>
      </w:pPr>
      <w:r>
        <w:rPr>
          <w:rFonts w:ascii="Arial" w:hAnsi="Arial" w:cs="Arial"/>
          <w:kern w:val="2"/>
        </w:rPr>
        <w:t>密封塞在压接时不应损伤。电线与密封塞之间、密封塞与护套之间符合IP67防护等级。电线和密封塞与端子压接后，在图</w:t>
      </w:r>
      <w:r>
        <w:rPr>
          <w:rFonts w:hint="eastAsia" w:ascii="Arial" w:hAnsi="Arial" w:cs="Arial"/>
          <w:kern w:val="2"/>
        </w:rPr>
        <w:t>6</w:t>
      </w:r>
      <w:r>
        <w:rPr>
          <w:rFonts w:ascii="Arial" w:hAnsi="Arial" w:cs="Arial"/>
          <w:kern w:val="2"/>
        </w:rPr>
        <w:t>所示的a区内应可见密封塞和电线绝缘层的端部。</w:t>
      </w:r>
    </w:p>
    <w:p>
      <w:pPr>
        <w:pStyle w:val="134"/>
        <w:numPr>
          <w:ilvl w:val="0"/>
          <w:numId w:val="2"/>
        </w:numPr>
        <w:spacing w:before="156" w:after="156"/>
        <w:ind w:left="0"/>
      </w:pPr>
      <w:bookmarkStart w:id="67" w:name="_Toc197351969"/>
      <w:r>
        <w:rPr>
          <w:rFonts w:hint="eastAsia"/>
        </w:rPr>
        <w:t>接点的撕裂力</w:t>
      </w:r>
      <w:bookmarkEnd w:id="67"/>
    </w:p>
    <w:tbl>
      <w:tblPr>
        <w:tblStyle w:val="30"/>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4975"/>
        <w:gridCol w:w="426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4975"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导体公称截面积</w:t>
            </w:r>
          </w:p>
          <w:p>
            <w:pPr>
              <w:pStyle w:val="28"/>
              <w:spacing w:before="0" w:beforeAutospacing="0" w:after="0" w:afterAutospacing="0"/>
              <w:jc w:val="center"/>
              <w:rPr>
                <w:rFonts w:hint="eastAsia" w:cs="Arial"/>
                <w:color w:val="auto"/>
                <w:sz w:val="18"/>
                <w:szCs w:val="18"/>
              </w:rPr>
            </w:pPr>
            <w:r>
              <w:rPr>
                <w:rFonts w:cs="Arial"/>
                <w:color w:val="auto"/>
                <w:sz w:val="18"/>
                <w:szCs w:val="18"/>
              </w:rPr>
              <w:t>mm</w:t>
            </w:r>
            <w:r>
              <w:rPr>
                <w:rFonts w:cs="Arial"/>
                <w:color w:val="auto"/>
                <w:sz w:val="18"/>
                <w:szCs w:val="18"/>
                <w:vertAlign w:val="superscript"/>
              </w:rPr>
              <w:t>2</w:t>
            </w:r>
          </w:p>
        </w:tc>
        <w:tc>
          <w:tcPr>
            <w:tcW w:w="4261" w:type="dxa"/>
            <w:tcBorders>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 xml:space="preserve">撕裂力 </w:t>
            </w:r>
          </w:p>
          <w:p>
            <w:pPr>
              <w:pStyle w:val="28"/>
              <w:spacing w:before="0" w:beforeAutospacing="0" w:after="0" w:afterAutospacing="0"/>
              <w:jc w:val="center"/>
              <w:rPr>
                <w:rFonts w:hint="eastAsia" w:cs="Arial"/>
                <w:color w:val="auto"/>
                <w:sz w:val="18"/>
                <w:szCs w:val="18"/>
              </w:rPr>
            </w:pPr>
            <w:r>
              <w:rPr>
                <w:rFonts w:cs="Arial"/>
                <w:color w:val="auto"/>
                <w:sz w:val="18"/>
                <w:szCs w:val="18"/>
              </w:rPr>
              <w:t>N</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4975" w:type="dxa"/>
            <w:tcBorders>
              <w:top w:val="single" w:color="000000" w:sz="12"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0.35</w:t>
            </w:r>
          </w:p>
        </w:tc>
        <w:tc>
          <w:tcPr>
            <w:tcW w:w="4261" w:type="dxa"/>
            <w:tcBorders>
              <w:top w:val="single" w:color="000000" w:sz="12"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10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4975" w:type="dxa"/>
            <w:tcBorders>
              <w:top w:val="single" w:color="000000" w:sz="6"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0.50</w:t>
            </w:r>
          </w:p>
        </w:tc>
        <w:tc>
          <w:tcPr>
            <w:tcW w:w="4261" w:type="dxa"/>
            <w:tcBorders>
              <w:top w:val="single" w:color="000000" w:sz="6"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15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4975" w:type="dxa"/>
            <w:tcBorders>
              <w:top w:val="single" w:color="000000" w:sz="6"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0.75</w:t>
            </w:r>
          </w:p>
        </w:tc>
        <w:tc>
          <w:tcPr>
            <w:tcW w:w="4261" w:type="dxa"/>
            <w:tcBorders>
              <w:top w:val="single" w:color="000000" w:sz="6"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23</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4975" w:type="dxa"/>
            <w:tcBorders>
              <w:top w:val="single" w:color="000000" w:sz="6"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1.00</w:t>
            </w:r>
          </w:p>
        </w:tc>
        <w:tc>
          <w:tcPr>
            <w:tcW w:w="4261" w:type="dxa"/>
            <w:tcBorders>
              <w:top w:val="single" w:color="000000" w:sz="6"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35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4975" w:type="dxa"/>
            <w:tcBorders>
              <w:top w:val="single" w:color="000000" w:sz="6"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1.50</w:t>
            </w:r>
          </w:p>
        </w:tc>
        <w:tc>
          <w:tcPr>
            <w:tcW w:w="4261" w:type="dxa"/>
            <w:tcBorders>
              <w:top w:val="single" w:color="000000" w:sz="6"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45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4975" w:type="dxa"/>
            <w:tcBorders>
              <w:top w:val="single" w:color="000000" w:sz="6"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2.50</w:t>
            </w:r>
          </w:p>
        </w:tc>
        <w:tc>
          <w:tcPr>
            <w:tcW w:w="4261" w:type="dxa"/>
            <w:tcBorders>
              <w:top w:val="single" w:color="000000" w:sz="6"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70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4975" w:type="dxa"/>
            <w:tcBorders>
              <w:top w:val="single" w:color="000000" w:sz="6" w:space="0"/>
              <w:bottom w:val="single" w:color="000000" w:sz="6" w:space="0"/>
            </w:tcBorders>
          </w:tcPr>
          <w:p>
            <w:pPr>
              <w:pStyle w:val="28"/>
              <w:spacing w:before="0" w:beforeAutospacing="0" w:after="0" w:afterAutospacing="0"/>
              <w:rPr>
                <w:rFonts w:hint="eastAsia" w:cs="Arial"/>
                <w:color w:val="auto"/>
                <w:sz w:val="18"/>
                <w:szCs w:val="18"/>
              </w:rPr>
            </w:pPr>
            <w:r>
              <w:rPr>
                <w:rFonts w:cs="Arial"/>
                <w:color w:val="auto"/>
                <w:sz w:val="18"/>
                <w:szCs w:val="18"/>
              </w:rPr>
              <w:t xml:space="preserve">                  </w:t>
            </w:r>
            <w:r>
              <w:rPr>
                <w:rFonts w:hint="eastAsia" w:cs="Arial"/>
                <w:color w:val="auto"/>
                <w:sz w:val="18"/>
                <w:szCs w:val="18"/>
              </w:rPr>
              <w:t xml:space="preserve">      </w:t>
            </w:r>
            <w:r>
              <w:rPr>
                <w:rFonts w:cs="Arial"/>
                <w:color w:val="auto"/>
                <w:sz w:val="18"/>
                <w:szCs w:val="18"/>
              </w:rPr>
              <w:t>4.00</w:t>
            </w:r>
          </w:p>
        </w:tc>
        <w:tc>
          <w:tcPr>
            <w:tcW w:w="4261" w:type="dxa"/>
            <w:tcBorders>
              <w:top w:val="single" w:color="000000" w:sz="6" w:space="0"/>
              <w:bottom w:val="single" w:color="000000" w:sz="6"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100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90" w:hRule="atLeast"/>
          <w:jc w:val="center"/>
        </w:trPr>
        <w:tc>
          <w:tcPr>
            <w:tcW w:w="4975" w:type="dxa"/>
            <w:tcBorders>
              <w:top w:val="single" w:color="000000" w:sz="6" w:space="0"/>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6.00</w:t>
            </w:r>
          </w:p>
        </w:tc>
        <w:tc>
          <w:tcPr>
            <w:tcW w:w="4261" w:type="dxa"/>
            <w:tcBorders>
              <w:top w:val="single" w:color="000000" w:sz="6" w:space="0"/>
              <w:bottom w:val="single" w:color="000000" w:sz="12" w:space="0"/>
            </w:tcBorders>
          </w:tcPr>
          <w:p>
            <w:pPr>
              <w:pStyle w:val="28"/>
              <w:spacing w:before="0" w:beforeAutospacing="0" w:after="0" w:afterAutospacing="0"/>
              <w:jc w:val="center"/>
              <w:rPr>
                <w:rFonts w:hint="eastAsia" w:cs="Arial"/>
                <w:color w:val="auto"/>
                <w:sz w:val="18"/>
                <w:szCs w:val="18"/>
              </w:rPr>
            </w:pPr>
            <w:r>
              <w:rPr>
                <w:rFonts w:cs="Arial"/>
                <w:color w:val="auto"/>
                <w:sz w:val="18"/>
                <w:szCs w:val="18"/>
              </w:rPr>
              <w:t>130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236" w:type="dxa"/>
            <w:gridSpan w:val="2"/>
            <w:tcBorders>
              <w:top w:val="single" w:color="000000" w:sz="12" w:space="0"/>
            </w:tcBorders>
          </w:tcPr>
          <w:p>
            <w:pPr>
              <w:pStyle w:val="272"/>
              <w:numPr>
                <w:ilvl w:val="0"/>
                <w:numId w:val="26"/>
              </w:numPr>
              <w:ind w:left="726" w:hanging="363"/>
              <w:rPr>
                <w:rFonts w:hint="eastAsia" w:hAnsi="宋体" w:cs="Arial"/>
              </w:rPr>
            </w:pPr>
            <w:r>
              <w:rPr>
                <w:rFonts w:hAnsi="宋体" w:cs="Arial"/>
              </w:rPr>
              <w:t>选择截面较小的电线测量撕裂力</w:t>
            </w:r>
          </w:p>
        </w:tc>
      </w:tr>
    </w:tbl>
    <w:p>
      <w:pPr>
        <w:jc w:val="center"/>
        <w:rPr>
          <w:rFonts w:hint="eastAsia"/>
        </w:rPr>
      </w:pPr>
      <w:r>
        <w:rPr>
          <w:rFonts w:ascii="Arial" w:hAnsi="Arial" w:cs="Arial"/>
          <w:sz w:val="18"/>
          <w:szCs w:val="18"/>
          <w:lang w:val="zh-CN"/>
        </w:rPr>
        <w:object>
          <v:shape id="_x0000_i1025" o:spt="75" type="#_x0000_t75" style="height:115.5pt;width:245.25pt;" o:ole="t" filled="f" o:preferrelative="t" stroked="f" coordsize="21600,21600">
            <v:path/>
            <v:fill on="f" focussize="0,0"/>
            <v:stroke on="f" joinstyle="miter"/>
            <v:imagedata r:id="rId23" o:title=""/>
            <o:lock v:ext="edit" aspectratio="t"/>
            <w10:wrap type="none"/>
            <w10:anchorlock/>
          </v:shape>
          <o:OLEObject Type="Embed" ProgID="Picture.PicObj.1" ShapeID="_x0000_i1025" DrawAspect="Content" ObjectID="_1468075725" r:id="rId22">
            <o:LockedField>false</o:LockedField>
          </o:OLEObject>
        </w:object>
      </w:r>
    </w:p>
    <w:p>
      <w:pPr>
        <w:pStyle w:val="136"/>
        <w:jc w:val="center"/>
      </w:pPr>
      <w:bookmarkStart w:id="68" w:name="_Toc196816846"/>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5</w:t>
      </w:r>
      <w:r>
        <w:fldChar w:fldCharType="end"/>
      </w:r>
      <w:r>
        <w:rPr>
          <w:rFonts w:hint="eastAsia"/>
        </w:rPr>
        <w:t>接点焊接示意图</w:t>
      </w:r>
      <w:bookmarkEnd w:id="68"/>
    </w:p>
    <w:p>
      <w:pPr>
        <w:jc w:val="center"/>
        <w:rPr>
          <w:rFonts w:hint="eastAsia"/>
        </w:rPr>
      </w:pPr>
      <w:r>
        <w:rPr>
          <w:rFonts w:ascii="Arial" w:hAnsi="Arial" w:cs="Arial"/>
          <w:sz w:val="18"/>
          <w:szCs w:val="18"/>
          <w:lang w:val="zh-CN"/>
        </w:rPr>
        <w:object>
          <v:shape id="_x0000_i1026" o:spt="75" type="#_x0000_t75" style="height:111pt;width:252.75pt;" o:ole="t" filled="f" o:preferrelative="t" stroked="f" coordsize="21600,21600">
            <v:path/>
            <v:fill on="f" focussize="0,0"/>
            <v:stroke on="f" joinstyle="miter"/>
            <v:imagedata r:id="rId25" o:title=""/>
            <o:lock v:ext="edit" aspectratio="t"/>
            <w10:wrap type="none"/>
            <w10:anchorlock/>
          </v:shape>
          <o:OLEObject Type="Embed" ProgID="Picture.PicObj.1" ShapeID="_x0000_i1026" DrawAspect="Content" ObjectID="_1468075726" r:id="rId24">
            <o:LockedField>false</o:LockedField>
          </o:OLEObject>
        </w:object>
      </w:r>
    </w:p>
    <w:p>
      <w:pPr>
        <w:pStyle w:val="136"/>
        <w:jc w:val="center"/>
      </w:pPr>
      <w:bookmarkStart w:id="69" w:name="_Toc196816847"/>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6</w:t>
      </w:r>
      <w:r>
        <w:fldChar w:fldCharType="end"/>
      </w:r>
      <w:r>
        <w:rPr>
          <w:rFonts w:hint="eastAsia"/>
        </w:rPr>
        <w:t>密封塞压接示意图</w:t>
      </w:r>
      <w:bookmarkEnd w:id="69"/>
    </w:p>
    <w:p>
      <w:pPr>
        <w:pStyle w:val="80"/>
        <w:ind w:firstLine="420"/>
      </w:pPr>
    </w:p>
    <w:p>
      <w:pPr>
        <w:pStyle w:val="127"/>
        <w:spacing w:before="156" w:after="156"/>
      </w:pPr>
      <w:bookmarkStart w:id="70" w:name="_Toc197519400"/>
      <w:bookmarkStart w:id="71" w:name="_Toc323892864"/>
      <w:bookmarkStart w:id="72" w:name="_Toc323893867"/>
      <w:bookmarkStart w:id="73" w:name="_Toc323892719"/>
      <w:bookmarkStart w:id="74" w:name="_Toc323892990"/>
      <w:r>
        <w:t>包扎</w:t>
      </w:r>
      <w:bookmarkEnd w:id="70"/>
      <w:bookmarkEnd w:id="71"/>
      <w:bookmarkEnd w:id="72"/>
      <w:bookmarkEnd w:id="73"/>
      <w:bookmarkEnd w:id="74"/>
    </w:p>
    <w:p>
      <w:pPr>
        <w:pStyle w:val="40"/>
        <w:rPr>
          <w:rFonts w:ascii="Arial" w:hAnsi="Arial" w:cs="Arial"/>
          <w:kern w:val="2"/>
        </w:rPr>
      </w:pPr>
      <w:r>
        <w:rPr>
          <w:rFonts w:ascii="Arial" w:hAnsi="Arial" w:cs="Arial"/>
          <w:kern w:val="2"/>
        </w:rPr>
        <w:t>电线束包扎时，应紧密、均匀，不应松散。采用保护套管时,无位移和影响电线束弯曲现象</w:t>
      </w:r>
      <w:r>
        <w:rPr>
          <w:rFonts w:hint="eastAsia" w:ascii="Arial" w:hAnsi="Arial" w:cs="Arial"/>
          <w:kern w:val="2"/>
        </w:rPr>
        <w:t>。缸内线采用线束支架保护。</w:t>
      </w:r>
    </w:p>
    <w:p>
      <w:pPr>
        <w:pStyle w:val="40"/>
        <w:rPr>
          <w:rFonts w:ascii="Arial" w:hAnsi="Arial" w:cs="Arial"/>
        </w:rPr>
      </w:pPr>
    </w:p>
    <w:p>
      <w:pPr>
        <w:pStyle w:val="127"/>
        <w:spacing w:before="156" w:after="156"/>
      </w:pPr>
      <w:bookmarkStart w:id="75" w:name="_Toc323893868"/>
      <w:bookmarkStart w:id="76" w:name="_Toc197519401"/>
      <w:bookmarkStart w:id="77" w:name="_Toc323892991"/>
      <w:bookmarkStart w:id="78" w:name="_Toc323892720"/>
      <w:bookmarkStart w:id="79" w:name="_Toc323892865"/>
      <w:r>
        <w:t>绝缘热缩管的连接</w:t>
      </w:r>
      <w:bookmarkEnd w:id="75"/>
      <w:bookmarkEnd w:id="76"/>
      <w:bookmarkEnd w:id="77"/>
      <w:bookmarkEnd w:id="78"/>
      <w:bookmarkEnd w:id="79"/>
    </w:p>
    <w:p>
      <w:pPr>
        <w:pStyle w:val="40"/>
        <w:rPr>
          <w:rFonts w:ascii="Arial" w:hAnsi="Arial" w:cs="Arial"/>
          <w:kern w:val="2"/>
        </w:rPr>
      </w:pPr>
      <w:r>
        <w:rPr>
          <w:rFonts w:ascii="Arial" w:hAnsi="Arial" w:cs="Arial"/>
          <w:kern w:val="2"/>
        </w:rPr>
        <w:t>电线束中电线与端子连接处的绝缘热缩管应紧密套在连接部位上，无位移、脱开现象。</w:t>
      </w:r>
    </w:p>
    <w:p>
      <w:pPr>
        <w:pStyle w:val="40"/>
        <w:rPr>
          <w:rFonts w:ascii="Arial" w:hAnsi="Arial" w:cs="Arial"/>
        </w:rPr>
      </w:pPr>
    </w:p>
    <w:p>
      <w:pPr>
        <w:pStyle w:val="127"/>
        <w:spacing w:before="156" w:after="156"/>
      </w:pPr>
      <w:bookmarkStart w:id="80" w:name="_Toc323892992"/>
      <w:bookmarkStart w:id="81" w:name="_Toc323893869"/>
      <w:bookmarkStart w:id="82" w:name="_Toc323892721"/>
      <w:bookmarkStart w:id="83" w:name="_Toc197519402"/>
      <w:bookmarkStart w:id="84" w:name="_Toc323892866"/>
      <w:r>
        <w:t>电线及零部件的装配</w:t>
      </w:r>
      <w:bookmarkEnd w:id="80"/>
      <w:bookmarkEnd w:id="81"/>
      <w:bookmarkEnd w:id="82"/>
      <w:bookmarkEnd w:id="83"/>
      <w:bookmarkEnd w:id="84"/>
    </w:p>
    <w:p>
      <w:pPr>
        <w:pStyle w:val="40"/>
        <w:rPr>
          <w:rFonts w:ascii="Arial" w:hAnsi="Arial" w:cs="Arial"/>
          <w:kern w:val="2"/>
        </w:rPr>
      </w:pPr>
      <w:r>
        <w:rPr>
          <w:rFonts w:ascii="Arial" w:hAnsi="Arial" w:cs="Arial"/>
          <w:kern w:val="2"/>
        </w:rPr>
        <w:t>电线束中电线及零部件应正确装配，不应有错位现象，端子在护套中不应脱出。</w:t>
      </w:r>
    </w:p>
    <w:p>
      <w:pPr>
        <w:pStyle w:val="40"/>
        <w:rPr>
          <w:rFonts w:ascii="Arial" w:hAnsi="Arial" w:cs="Arial"/>
        </w:rPr>
      </w:pPr>
    </w:p>
    <w:p>
      <w:pPr>
        <w:pStyle w:val="127"/>
        <w:spacing w:before="156" w:after="156"/>
      </w:pPr>
      <w:bookmarkStart w:id="85" w:name="_Toc323893870"/>
      <w:bookmarkStart w:id="86" w:name="_Toc197519403"/>
      <w:bookmarkStart w:id="87" w:name="_Toc323892993"/>
      <w:bookmarkStart w:id="88" w:name="_Toc323892867"/>
      <w:bookmarkStart w:id="89" w:name="_Toc323892722"/>
      <w:r>
        <w:t>导通</w:t>
      </w:r>
      <w:bookmarkEnd w:id="85"/>
      <w:bookmarkEnd w:id="86"/>
      <w:bookmarkEnd w:id="87"/>
      <w:bookmarkEnd w:id="88"/>
      <w:bookmarkEnd w:id="89"/>
    </w:p>
    <w:p>
      <w:pPr>
        <w:pStyle w:val="40"/>
        <w:rPr>
          <w:rFonts w:ascii="Arial" w:hAnsi="Arial" w:cs="Arial"/>
          <w:kern w:val="2"/>
        </w:rPr>
      </w:pPr>
      <w:r>
        <w:rPr>
          <w:rFonts w:ascii="Arial" w:hAnsi="Arial" w:cs="Arial"/>
          <w:kern w:val="2"/>
        </w:rPr>
        <w:t>电线束中无短路、错路、断路现象。</w:t>
      </w:r>
    </w:p>
    <w:p>
      <w:pPr>
        <w:pStyle w:val="40"/>
        <w:rPr>
          <w:rFonts w:ascii="Arial" w:hAnsi="Arial" w:cs="Arial"/>
        </w:rPr>
      </w:pPr>
    </w:p>
    <w:p>
      <w:pPr>
        <w:pStyle w:val="127"/>
        <w:spacing w:before="156" w:after="156"/>
      </w:pPr>
      <w:bookmarkStart w:id="90" w:name="_Toc323892723"/>
      <w:bookmarkStart w:id="91" w:name="_Toc197519404"/>
      <w:bookmarkStart w:id="92" w:name="_Toc323892868"/>
      <w:bookmarkStart w:id="93" w:name="_Toc323893871"/>
      <w:bookmarkStart w:id="94" w:name="_Toc323892994"/>
      <w:r>
        <w:t>耐温性能</w:t>
      </w:r>
      <w:bookmarkEnd w:id="90"/>
      <w:bookmarkEnd w:id="91"/>
      <w:bookmarkEnd w:id="92"/>
      <w:bookmarkEnd w:id="93"/>
      <w:bookmarkEnd w:id="94"/>
    </w:p>
    <w:p>
      <w:pPr>
        <w:pStyle w:val="184"/>
      </w:pPr>
      <w:r>
        <w:t>电线束应分别按表</w:t>
      </w:r>
      <w:r>
        <w:rPr>
          <w:rFonts w:hint="eastAsia"/>
        </w:rPr>
        <w:t>6</w:t>
      </w:r>
      <w:r>
        <w:t>安装位置经耐低温性能试验后，应符合4.7、4.8、4.10的规定。</w:t>
      </w:r>
    </w:p>
    <w:p>
      <w:pPr>
        <w:pStyle w:val="184"/>
        <w:numPr>
          <w:ilvl w:val="0"/>
          <w:numId w:val="0"/>
        </w:numPr>
      </w:pPr>
    </w:p>
    <w:p>
      <w:pPr>
        <w:pStyle w:val="184"/>
      </w:pPr>
      <w:r>
        <w:t>电线束应分别按表</w:t>
      </w:r>
      <w:r>
        <w:rPr>
          <w:rFonts w:hint="eastAsia"/>
        </w:rPr>
        <w:t>6</w:t>
      </w:r>
      <w:r>
        <w:t>安装位置经耐高温性能试验后，应符合4.7、4.8、4.10的规定。</w:t>
      </w:r>
    </w:p>
    <w:p>
      <w:pPr>
        <w:pStyle w:val="184"/>
        <w:numPr>
          <w:ilvl w:val="0"/>
          <w:numId w:val="0"/>
        </w:numPr>
      </w:pPr>
    </w:p>
    <w:p>
      <w:pPr>
        <w:pStyle w:val="184"/>
      </w:pPr>
      <w:r>
        <w:t>电线束应分别按表</w:t>
      </w:r>
      <w:r>
        <w:rPr>
          <w:rFonts w:hint="eastAsia"/>
        </w:rPr>
        <w:t>6</w:t>
      </w:r>
      <w:r>
        <w:t>安装位置经 QC/T 41</w:t>
      </w:r>
      <w:r>
        <w:rPr>
          <w:color w:val="000000" w:themeColor="text1"/>
          <w14:textFill>
            <w14:solidFill>
              <w14:schemeClr w14:val="tx1"/>
            </w14:solidFill>
          </w14:textFill>
        </w:rPr>
        <w:t>3─2002</w:t>
      </w:r>
      <w:r>
        <w:t xml:space="preserve"> 中 3.10.3 规定的耐温度变化性能试验后，应符合4.7、4.8、4.10 的规定。</w:t>
      </w:r>
    </w:p>
    <w:p>
      <w:pPr>
        <w:pStyle w:val="40"/>
      </w:pPr>
    </w:p>
    <w:p>
      <w:pPr>
        <w:pStyle w:val="134"/>
        <w:numPr>
          <w:ilvl w:val="0"/>
          <w:numId w:val="2"/>
        </w:numPr>
        <w:spacing w:before="156" w:after="156"/>
        <w:ind w:left="0" w:right="90"/>
        <w:rPr>
          <w:sz w:val="18"/>
          <w:szCs w:val="18"/>
        </w:rPr>
      </w:pPr>
      <w:bookmarkStart w:id="95" w:name="_Toc197351970"/>
      <w:r>
        <w:rPr>
          <w:rFonts w:hint="eastAsia"/>
        </w:rPr>
        <w:t>工作温度及贮存温度</w:t>
      </w:r>
      <w:bookmarkEnd w:id="95"/>
    </w:p>
    <w:tbl>
      <w:tblPr>
        <w:tblStyle w:val="30"/>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2903"/>
        <w:gridCol w:w="2895"/>
        <w:gridCol w:w="3497"/>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903" w:type="dxa"/>
            <w:vMerge w:val="restart"/>
            <w:tcBorders>
              <w:top w:val="single" w:color="000000" w:sz="12" w:space="0"/>
              <w:bottom w:val="single" w:color="000000" w:sz="6" w:space="0"/>
            </w:tcBorders>
            <w:vAlign w:val="center"/>
          </w:tcPr>
          <w:p>
            <w:pPr>
              <w:pStyle w:val="28"/>
              <w:spacing w:line="300" w:lineRule="atLeast"/>
              <w:jc w:val="center"/>
              <w:rPr>
                <w:rFonts w:hint="eastAsia" w:cs="Arial"/>
                <w:color w:val="auto"/>
                <w:sz w:val="18"/>
                <w:szCs w:val="18"/>
              </w:rPr>
            </w:pPr>
            <w:r>
              <w:rPr>
                <w:rFonts w:cs="Arial"/>
                <w:color w:val="auto"/>
                <w:sz w:val="18"/>
                <w:szCs w:val="18"/>
              </w:rPr>
              <w:t>项目</w:t>
            </w:r>
          </w:p>
        </w:tc>
        <w:tc>
          <w:tcPr>
            <w:tcW w:w="6392" w:type="dxa"/>
            <w:gridSpan w:val="2"/>
            <w:tcBorders>
              <w:top w:val="single" w:color="000000" w:sz="12" w:space="0"/>
              <w:bottom w:val="single" w:color="000000" w:sz="6" w:space="0"/>
            </w:tcBorders>
            <w:vAlign w:val="center"/>
          </w:tcPr>
          <w:p>
            <w:pPr>
              <w:pStyle w:val="28"/>
              <w:spacing w:line="300" w:lineRule="atLeast"/>
              <w:jc w:val="center"/>
              <w:rPr>
                <w:rFonts w:hint="eastAsia" w:cs="Arial"/>
                <w:color w:val="auto"/>
                <w:sz w:val="18"/>
                <w:szCs w:val="18"/>
              </w:rPr>
            </w:pPr>
            <w:r>
              <w:rPr>
                <w:rFonts w:cs="Arial"/>
                <w:color w:val="auto"/>
                <w:sz w:val="18"/>
                <w:szCs w:val="18"/>
              </w:rPr>
              <w:t>安装位置</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903" w:type="dxa"/>
            <w:vMerge w:val="continue"/>
            <w:tcBorders>
              <w:top w:val="single" w:color="000000" w:sz="6" w:space="0"/>
              <w:bottom w:val="single" w:color="000000" w:sz="12" w:space="0"/>
            </w:tcBorders>
            <w:vAlign w:val="center"/>
          </w:tcPr>
          <w:p>
            <w:pPr>
              <w:pStyle w:val="28"/>
              <w:spacing w:line="300" w:lineRule="atLeast"/>
              <w:jc w:val="center"/>
              <w:rPr>
                <w:rFonts w:hint="eastAsia" w:cs="Arial"/>
                <w:color w:val="auto"/>
                <w:sz w:val="18"/>
                <w:szCs w:val="18"/>
              </w:rPr>
            </w:pPr>
          </w:p>
        </w:tc>
        <w:tc>
          <w:tcPr>
            <w:tcW w:w="2895" w:type="dxa"/>
            <w:tcBorders>
              <w:top w:val="single" w:color="000000" w:sz="6" w:space="0"/>
              <w:bottom w:val="single" w:color="000000" w:sz="12" w:space="0"/>
            </w:tcBorders>
            <w:vAlign w:val="center"/>
          </w:tcPr>
          <w:p>
            <w:pPr>
              <w:pStyle w:val="28"/>
              <w:spacing w:line="300" w:lineRule="atLeast"/>
              <w:jc w:val="center"/>
              <w:rPr>
                <w:rFonts w:hint="eastAsia" w:cs="Arial"/>
                <w:color w:val="auto"/>
                <w:sz w:val="18"/>
                <w:szCs w:val="18"/>
              </w:rPr>
            </w:pPr>
            <w:r>
              <w:rPr>
                <w:rFonts w:cs="Arial"/>
                <w:color w:val="auto"/>
                <w:sz w:val="18"/>
                <w:szCs w:val="18"/>
              </w:rPr>
              <w:t>装在发动机上的线束</w:t>
            </w:r>
          </w:p>
        </w:tc>
        <w:tc>
          <w:tcPr>
            <w:tcW w:w="3497" w:type="dxa"/>
            <w:tcBorders>
              <w:top w:val="single" w:color="000000" w:sz="6" w:space="0"/>
              <w:bottom w:val="single" w:color="000000" w:sz="12" w:space="0"/>
            </w:tcBorders>
            <w:vAlign w:val="center"/>
          </w:tcPr>
          <w:p>
            <w:pPr>
              <w:pStyle w:val="28"/>
              <w:spacing w:line="300" w:lineRule="atLeast"/>
              <w:jc w:val="center"/>
              <w:rPr>
                <w:rFonts w:hint="eastAsia" w:cs="Arial"/>
                <w:color w:val="auto"/>
                <w:sz w:val="18"/>
                <w:szCs w:val="18"/>
              </w:rPr>
            </w:pPr>
            <w:r>
              <w:rPr>
                <w:rFonts w:cs="Arial"/>
                <w:color w:val="auto"/>
                <w:sz w:val="18"/>
                <w:szCs w:val="18"/>
              </w:rPr>
              <w:t>装在发动机缸内的线束</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903" w:type="dxa"/>
            <w:tcBorders>
              <w:top w:val="single" w:color="000000" w:sz="12" w:space="0"/>
            </w:tcBorders>
            <w:vAlign w:val="center"/>
          </w:tcPr>
          <w:p>
            <w:pPr>
              <w:pStyle w:val="28"/>
              <w:spacing w:line="300" w:lineRule="atLeast"/>
              <w:jc w:val="center"/>
              <w:rPr>
                <w:rFonts w:hint="eastAsia" w:cs="Arial"/>
                <w:color w:val="auto"/>
                <w:sz w:val="18"/>
                <w:szCs w:val="18"/>
              </w:rPr>
            </w:pPr>
            <w:r>
              <w:rPr>
                <w:rFonts w:cs="Arial"/>
                <w:color w:val="auto"/>
                <w:sz w:val="18"/>
                <w:szCs w:val="18"/>
              </w:rPr>
              <w:t>下限工作温度</w:t>
            </w:r>
          </w:p>
        </w:tc>
        <w:tc>
          <w:tcPr>
            <w:tcW w:w="6392" w:type="dxa"/>
            <w:gridSpan w:val="2"/>
            <w:tcBorders>
              <w:top w:val="single" w:color="000000" w:sz="12" w:space="0"/>
            </w:tcBorders>
            <w:vAlign w:val="center"/>
          </w:tcPr>
          <w:p>
            <w:pPr>
              <w:pStyle w:val="28"/>
              <w:spacing w:line="300" w:lineRule="atLeast"/>
              <w:jc w:val="center"/>
              <w:rPr>
                <w:rFonts w:hint="eastAsia" w:cs="Arial"/>
                <w:color w:val="auto"/>
                <w:sz w:val="18"/>
                <w:szCs w:val="18"/>
              </w:rPr>
            </w:pPr>
            <w:r>
              <w:rPr>
                <w:rFonts w:cs="Arial"/>
                <w:color w:val="auto"/>
                <w:sz w:val="18"/>
                <w:szCs w:val="18"/>
              </w:rPr>
              <w:t>-40</w:t>
            </w:r>
            <w:r>
              <w:rPr>
                <w:rFonts w:hint="eastAsia" w:cs="Arial"/>
                <w:color w:val="auto"/>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903" w:type="dxa"/>
            <w:vAlign w:val="center"/>
          </w:tcPr>
          <w:p>
            <w:pPr>
              <w:pStyle w:val="28"/>
              <w:spacing w:line="300" w:lineRule="atLeast"/>
              <w:jc w:val="center"/>
              <w:rPr>
                <w:rFonts w:hint="eastAsia" w:cs="Arial"/>
                <w:color w:val="auto"/>
                <w:sz w:val="18"/>
                <w:szCs w:val="18"/>
              </w:rPr>
            </w:pPr>
            <w:r>
              <w:rPr>
                <w:rFonts w:cs="Arial"/>
                <w:color w:val="auto"/>
                <w:sz w:val="18"/>
                <w:szCs w:val="18"/>
              </w:rPr>
              <w:t>下限贮存温度</w:t>
            </w:r>
          </w:p>
        </w:tc>
        <w:tc>
          <w:tcPr>
            <w:tcW w:w="6392" w:type="dxa"/>
            <w:gridSpan w:val="2"/>
            <w:vAlign w:val="center"/>
          </w:tcPr>
          <w:p>
            <w:pPr>
              <w:pStyle w:val="28"/>
              <w:spacing w:line="300" w:lineRule="atLeast"/>
              <w:jc w:val="center"/>
              <w:rPr>
                <w:rFonts w:hint="eastAsia" w:cs="Arial"/>
                <w:color w:val="auto"/>
                <w:sz w:val="18"/>
                <w:szCs w:val="18"/>
              </w:rPr>
            </w:pPr>
            <w:r>
              <w:rPr>
                <w:rFonts w:cs="Arial"/>
                <w:color w:val="auto"/>
                <w:sz w:val="18"/>
                <w:szCs w:val="18"/>
              </w:rPr>
              <w:t>-</w:t>
            </w:r>
            <w:r>
              <w:rPr>
                <w:rFonts w:hint="eastAsia" w:cs="Arial"/>
                <w:color w:val="auto"/>
                <w:sz w:val="18"/>
                <w:szCs w:val="18"/>
              </w:rPr>
              <w:t>25℃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903" w:type="dxa"/>
            <w:vAlign w:val="center"/>
          </w:tcPr>
          <w:p>
            <w:pPr>
              <w:pStyle w:val="28"/>
              <w:spacing w:line="300" w:lineRule="atLeast"/>
              <w:jc w:val="center"/>
              <w:rPr>
                <w:rFonts w:hint="eastAsia" w:cs="Arial"/>
                <w:color w:val="auto"/>
                <w:sz w:val="18"/>
                <w:szCs w:val="18"/>
              </w:rPr>
            </w:pPr>
            <w:r>
              <w:rPr>
                <w:rFonts w:cs="Arial"/>
                <w:color w:val="auto"/>
                <w:sz w:val="18"/>
                <w:szCs w:val="18"/>
              </w:rPr>
              <w:t>上限工作温度</w:t>
            </w:r>
          </w:p>
        </w:tc>
        <w:tc>
          <w:tcPr>
            <w:tcW w:w="2895" w:type="dxa"/>
            <w:vAlign w:val="center"/>
          </w:tcPr>
          <w:p>
            <w:pPr>
              <w:pStyle w:val="28"/>
              <w:spacing w:line="300" w:lineRule="atLeast"/>
              <w:jc w:val="center"/>
              <w:rPr>
                <w:rFonts w:hint="eastAsia" w:cs="Arial"/>
                <w:color w:val="auto"/>
                <w:sz w:val="18"/>
                <w:szCs w:val="18"/>
              </w:rPr>
            </w:pPr>
            <w:r>
              <w:rPr>
                <w:rFonts w:cs="Arial"/>
                <w:color w:val="auto"/>
                <w:sz w:val="18"/>
                <w:szCs w:val="18"/>
              </w:rPr>
              <w:t>120</w:t>
            </w:r>
            <w:r>
              <w:rPr>
                <w:rFonts w:hint="eastAsia" w:cs="Arial"/>
                <w:color w:val="auto"/>
                <w:sz w:val="18"/>
                <w:szCs w:val="18"/>
              </w:rPr>
              <w:t>℃</w:t>
            </w:r>
          </w:p>
        </w:tc>
        <w:tc>
          <w:tcPr>
            <w:tcW w:w="3497" w:type="dxa"/>
            <w:vAlign w:val="center"/>
          </w:tcPr>
          <w:p>
            <w:pPr>
              <w:pStyle w:val="28"/>
              <w:spacing w:line="300" w:lineRule="atLeast"/>
              <w:jc w:val="center"/>
              <w:rPr>
                <w:rFonts w:hint="eastAsia" w:cs="Arial"/>
                <w:color w:val="auto"/>
                <w:sz w:val="18"/>
                <w:szCs w:val="18"/>
              </w:rPr>
            </w:pPr>
            <w:r>
              <w:rPr>
                <w:rFonts w:cs="Arial"/>
                <w:color w:val="auto"/>
                <w:sz w:val="18"/>
                <w:szCs w:val="18"/>
              </w:rPr>
              <w:t>135</w:t>
            </w:r>
            <w:r>
              <w:rPr>
                <w:rFonts w:hint="eastAsia" w:cs="Arial"/>
                <w:color w:val="auto"/>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903" w:type="dxa"/>
            <w:vAlign w:val="center"/>
          </w:tcPr>
          <w:p>
            <w:pPr>
              <w:pStyle w:val="28"/>
              <w:spacing w:line="300" w:lineRule="atLeast"/>
              <w:jc w:val="center"/>
              <w:rPr>
                <w:rFonts w:hint="eastAsia" w:cs="Arial"/>
                <w:color w:val="auto"/>
                <w:sz w:val="18"/>
                <w:szCs w:val="18"/>
              </w:rPr>
            </w:pPr>
            <w:r>
              <w:rPr>
                <w:rFonts w:cs="Arial"/>
                <w:color w:val="auto"/>
                <w:sz w:val="18"/>
                <w:szCs w:val="18"/>
              </w:rPr>
              <w:t>上限贮存温度</w:t>
            </w:r>
          </w:p>
        </w:tc>
        <w:tc>
          <w:tcPr>
            <w:tcW w:w="2895" w:type="dxa"/>
            <w:vAlign w:val="center"/>
          </w:tcPr>
          <w:p>
            <w:pPr>
              <w:pStyle w:val="28"/>
              <w:spacing w:line="300" w:lineRule="atLeast"/>
              <w:jc w:val="center"/>
              <w:rPr>
                <w:rFonts w:hint="eastAsia" w:cs="Arial"/>
                <w:color w:val="auto"/>
                <w:sz w:val="18"/>
                <w:szCs w:val="18"/>
              </w:rPr>
            </w:pPr>
            <w:r>
              <w:rPr>
                <w:rFonts w:hint="eastAsia" w:cs="Arial"/>
                <w:color w:val="auto"/>
                <w:sz w:val="18"/>
                <w:szCs w:val="18"/>
              </w:rPr>
              <w:t>6</w:t>
            </w:r>
            <w:r>
              <w:rPr>
                <w:rFonts w:cs="Arial"/>
                <w:color w:val="auto"/>
                <w:sz w:val="18"/>
                <w:szCs w:val="18"/>
              </w:rPr>
              <w:t>0</w:t>
            </w:r>
            <w:r>
              <w:rPr>
                <w:rFonts w:hint="eastAsia" w:cs="Arial"/>
                <w:color w:val="auto"/>
                <w:sz w:val="18"/>
                <w:szCs w:val="18"/>
              </w:rPr>
              <w:t>℃</w:t>
            </w:r>
          </w:p>
        </w:tc>
        <w:tc>
          <w:tcPr>
            <w:tcW w:w="3497" w:type="dxa"/>
            <w:vAlign w:val="center"/>
          </w:tcPr>
          <w:p>
            <w:pPr>
              <w:pStyle w:val="28"/>
              <w:spacing w:line="300" w:lineRule="atLeast"/>
              <w:jc w:val="center"/>
              <w:rPr>
                <w:rFonts w:hint="eastAsia" w:cs="Arial"/>
                <w:color w:val="auto"/>
                <w:sz w:val="18"/>
                <w:szCs w:val="18"/>
              </w:rPr>
            </w:pPr>
            <w:r>
              <w:rPr>
                <w:rFonts w:hint="eastAsia" w:cs="Arial"/>
                <w:color w:val="auto"/>
                <w:sz w:val="18"/>
                <w:szCs w:val="18"/>
              </w:rPr>
              <w:t>6</w:t>
            </w:r>
            <w:r>
              <w:rPr>
                <w:rFonts w:cs="Arial"/>
                <w:color w:val="auto"/>
                <w:sz w:val="18"/>
                <w:szCs w:val="18"/>
              </w:rPr>
              <w:t>0</w:t>
            </w:r>
            <w:r>
              <w:rPr>
                <w:rFonts w:hint="eastAsia" w:cs="Arial"/>
                <w:color w:val="auto"/>
                <w:sz w:val="18"/>
                <w:szCs w:val="18"/>
              </w:rPr>
              <w:t>℃</w:t>
            </w:r>
          </w:p>
        </w:tc>
      </w:tr>
    </w:tbl>
    <w:p>
      <w:pPr>
        <w:pStyle w:val="127"/>
        <w:spacing w:before="156" w:after="156"/>
      </w:pPr>
      <w:bookmarkStart w:id="96" w:name="_Toc323892724"/>
      <w:bookmarkStart w:id="97" w:name="_Toc323893872"/>
      <w:bookmarkStart w:id="98" w:name="_Toc197519405"/>
      <w:bookmarkStart w:id="99" w:name="_Toc323892869"/>
      <w:bookmarkStart w:id="100" w:name="_Toc323892995"/>
      <w:r>
        <w:t>耐温度、湿度循环变化性能</w:t>
      </w:r>
      <w:bookmarkEnd w:id="96"/>
      <w:bookmarkEnd w:id="97"/>
      <w:bookmarkEnd w:id="98"/>
      <w:bookmarkEnd w:id="99"/>
      <w:bookmarkEnd w:id="100"/>
    </w:p>
    <w:p>
      <w:pPr>
        <w:pStyle w:val="80"/>
        <w:ind w:firstLine="420"/>
      </w:pPr>
    </w:p>
    <w:p>
      <w:pPr>
        <w:pStyle w:val="40"/>
        <w:ind w:left="105" w:leftChars="50" w:firstLine="315" w:firstLineChars="150"/>
        <w:rPr>
          <w:rFonts w:ascii="Arial" w:hAnsi="Arial" w:cs="Arial"/>
          <w:kern w:val="2"/>
        </w:rPr>
      </w:pPr>
      <w:r>
        <w:rPr>
          <w:rFonts w:ascii="Arial" w:hAnsi="Arial" w:cs="Arial"/>
          <w:kern w:val="2"/>
        </w:rPr>
        <w:t>电线束经QC/T 413</w:t>
      </w:r>
      <w:r>
        <w:rPr>
          <w:color w:val="000000" w:themeColor="text1"/>
          <w14:textFill>
            <w14:solidFill>
              <w14:schemeClr w14:val="tx1"/>
            </w14:solidFill>
          </w14:textFill>
        </w:rPr>
        <w:t>─2002</w:t>
      </w:r>
      <w:r>
        <w:rPr>
          <w:rFonts w:ascii="Arial" w:hAnsi="Arial" w:cs="Arial"/>
          <w:kern w:val="2"/>
        </w:rPr>
        <w:t>中3.11规定的耐温度、湿度循环变化性能试验后，应符合4.7、4.8、4.10的规定。</w:t>
      </w:r>
    </w:p>
    <w:p>
      <w:pPr>
        <w:pStyle w:val="40"/>
        <w:ind w:left="105" w:leftChars="50" w:firstLine="315" w:firstLineChars="150"/>
        <w:rPr>
          <w:rFonts w:ascii="Arial" w:hAnsi="Arial" w:cs="Arial"/>
        </w:rPr>
      </w:pPr>
    </w:p>
    <w:p>
      <w:pPr>
        <w:pStyle w:val="127"/>
        <w:spacing w:before="156" w:after="156"/>
      </w:pPr>
      <w:bookmarkStart w:id="101" w:name="_Toc323892870"/>
      <w:bookmarkStart w:id="102" w:name="_Toc323892725"/>
      <w:bookmarkStart w:id="103" w:name="_Toc323892996"/>
      <w:bookmarkStart w:id="104" w:name="_Toc197519406"/>
      <w:bookmarkStart w:id="105" w:name="_Toc323893873"/>
      <w:r>
        <w:t>耐振动性能</w:t>
      </w:r>
      <w:bookmarkEnd w:id="101"/>
      <w:bookmarkEnd w:id="102"/>
      <w:bookmarkEnd w:id="103"/>
      <w:bookmarkEnd w:id="104"/>
      <w:bookmarkEnd w:id="105"/>
    </w:p>
    <w:p>
      <w:pPr>
        <w:pStyle w:val="80"/>
        <w:ind w:firstLine="420"/>
      </w:pPr>
    </w:p>
    <w:p>
      <w:pPr>
        <w:pStyle w:val="40"/>
        <w:rPr>
          <w:rFonts w:ascii="Arial" w:hAnsi="Arial" w:cs="Arial"/>
        </w:rPr>
      </w:pPr>
      <w:r>
        <w:rPr>
          <w:rFonts w:ascii="Arial" w:hAnsi="Arial" w:cs="Arial"/>
        </w:rPr>
        <w:t>电线束经受QC/T 413</w:t>
      </w:r>
      <w:r>
        <w:rPr>
          <w:color w:val="000000" w:themeColor="text1"/>
          <w14:textFill>
            <w14:solidFill>
              <w14:schemeClr w14:val="tx1"/>
            </w14:solidFill>
          </w14:textFill>
        </w:rPr>
        <w:t>─2002</w:t>
      </w:r>
      <w:r>
        <w:rPr>
          <w:rFonts w:ascii="Arial" w:hAnsi="Arial" w:cs="Arial"/>
        </w:rPr>
        <w:t>中3.12规定的耐振动性能试验后，应符合4.7、4.8、4.9、4.10的规定；综合振动实验，须搭载在发动机上进行，应符合4.7、4.8、4.9、4.10 的规定。</w:t>
      </w:r>
    </w:p>
    <w:p>
      <w:pPr>
        <w:pStyle w:val="40"/>
        <w:rPr>
          <w:rFonts w:ascii="Arial" w:hAnsi="Arial" w:cs="Arial"/>
        </w:rPr>
      </w:pPr>
      <w:r>
        <w:rPr>
          <w:rFonts w:hint="eastAsia" w:ascii="Arial" w:hAnsi="Arial" w:cs="Arial"/>
        </w:rPr>
        <w:t>缸内线按</w:t>
      </w:r>
      <w:r>
        <w:rPr>
          <w:rFonts w:ascii="Arial" w:hAnsi="Arial" w:cs="Arial"/>
        </w:rPr>
        <w:t xml:space="preserve">GB/T 28046.3 </w:t>
      </w:r>
      <w:r>
        <w:rPr>
          <w:rFonts w:hint="eastAsia" w:ascii="Arial" w:hAnsi="Arial" w:cs="Arial"/>
        </w:rPr>
        <w:t>试验</w:t>
      </w:r>
      <w:r>
        <w:rPr>
          <w:rFonts w:ascii="Arial" w:hAnsi="Arial" w:cs="Arial"/>
        </w:rPr>
        <w:t>VI进行测试，应符合4.7、4.8、4.9、4.10的规定；综合振动试验，须搭载发动机进行测试</w:t>
      </w:r>
      <w:r>
        <w:rPr>
          <w:rFonts w:hint="eastAsia" w:ascii="Arial" w:hAnsi="Arial" w:cs="Arial"/>
        </w:rPr>
        <w:t>。</w:t>
      </w:r>
    </w:p>
    <w:p>
      <w:pPr>
        <w:pStyle w:val="127"/>
        <w:spacing w:before="156" w:after="156"/>
      </w:pPr>
      <w:bookmarkStart w:id="106" w:name="_Toc323893874"/>
      <w:bookmarkStart w:id="107" w:name="_Toc323892871"/>
      <w:bookmarkStart w:id="108" w:name="_Toc323892997"/>
      <w:bookmarkStart w:id="109" w:name="_Toc323892726"/>
      <w:bookmarkStart w:id="110" w:name="_Toc197519407"/>
      <w:r>
        <w:t>耐盐雾性能</w:t>
      </w:r>
      <w:bookmarkEnd w:id="106"/>
      <w:bookmarkEnd w:id="107"/>
      <w:bookmarkEnd w:id="108"/>
      <w:bookmarkEnd w:id="109"/>
      <w:bookmarkEnd w:id="110"/>
    </w:p>
    <w:p>
      <w:pPr>
        <w:pStyle w:val="80"/>
        <w:ind w:firstLine="420"/>
      </w:pPr>
    </w:p>
    <w:p>
      <w:pPr>
        <w:pStyle w:val="40"/>
        <w:rPr>
          <w:rFonts w:ascii="Arial" w:hAnsi="Arial" w:cs="Arial"/>
        </w:rPr>
      </w:pPr>
      <w:r>
        <w:rPr>
          <w:rFonts w:ascii="Arial" w:hAnsi="Arial" w:cs="Arial"/>
        </w:rPr>
        <w:t>电线束经QC/T 41</w:t>
      </w:r>
      <w:r>
        <w:rPr>
          <w:rFonts w:ascii="Arial" w:hAnsi="Arial" w:cs="Arial"/>
          <w:color w:val="000000" w:themeColor="text1"/>
          <w14:textFill>
            <w14:solidFill>
              <w14:schemeClr w14:val="tx1"/>
            </w14:solidFill>
          </w14:textFill>
        </w:rPr>
        <w:t>3─2002</w:t>
      </w:r>
      <w:r>
        <w:rPr>
          <w:rFonts w:ascii="Arial" w:hAnsi="Arial" w:cs="Arial"/>
        </w:rPr>
        <w:t>中3.13规定的持续时间为48h的耐盐雾性能试验后，应符合4.10的规定，并符合表3的规定。</w:t>
      </w:r>
      <w:r>
        <w:rPr>
          <w:rFonts w:hint="eastAsia" w:ascii="Arial" w:hAnsi="Arial" w:cs="Arial"/>
        </w:rPr>
        <w:t>缸内线不适用。</w:t>
      </w:r>
    </w:p>
    <w:p>
      <w:pPr>
        <w:pStyle w:val="40"/>
        <w:rPr>
          <w:rFonts w:ascii="Arial" w:hAnsi="Arial" w:cs="Arial"/>
        </w:rPr>
      </w:pPr>
    </w:p>
    <w:p>
      <w:pPr>
        <w:pStyle w:val="127"/>
        <w:spacing w:before="156" w:after="156"/>
      </w:pPr>
      <w:bookmarkStart w:id="111" w:name="_Toc197519408"/>
      <w:bookmarkStart w:id="112" w:name="_Toc323892727"/>
      <w:bookmarkStart w:id="113" w:name="_Toc323892998"/>
      <w:bookmarkStart w:id="114" w:name="_Toc323893875"/>
      <w:bookmarkStart w:id="115" w:name="_Toc323892872"/>
      <w:r>
        <w:t>耐工业溶剂性能</w:t>
      </w:r>
      <w:bookmarkEnd w:id="111"/>
      <w:bookmarkEnd w:id="112"/>
      <w:bookmarkEnd w:id="113"/>
      <w:bookmarkEnd w:id="114"/>
      <w:bookmarkEnd w:id="115"/>
    </w:p>
    <w:p>
      <w:pPr>
        <w:pStyle w:val="80"/>
        <w:ind w:firstLine="420"/>
      </w:pPr>
    </w:p>
    <w:p>
      <w:pPr>
        <w:pStyle w:val="40"/>
        <w:rPr>
          <w:rFonts w:ascii="Arial" w:hAnsi="Arial" w:cs="Arial"/>
        </w:rPr>
      </w:pPr>
      <w:r>
        <w:rPr>
          <w:rFonts w:ascii="Arial" w:hAnsi="Arial" w:cs="Arial"/>
        </w:rPr>
        <w:t>电线束宜进行耐工业溶剂性能试验，其溶剂种类推荐采用玻璃清洗剂、车用柴油、发动机机油、发动机冷却液，试验后应符合4.7、4.8、4.10的规定。</w:t>
      </w:r>
    </w:p>
    <w:p>
      <w:pPr>
        <w:pStyle w:val="40"/>
        <w:rPr>
          <w:rFonts w:ascii="Arial" w:hAnsi="Arial" w:cs="Arial"/>
        </w:rPr>
      </w:pPr>
    </w:p>
    <w:p>
      <w:pPr>
        <w:pStyle w:val="127"/>
        <w:spacing w:before="156" w:after="156"/>
      </w:pPr>
      <w:bookmarkStart w:id="116" w:name="_Toc323892873"/>
      <w:bookmarkStart w:id="117" w:name="_Toc197519409"/>
      <w:bookmarkStart w:id="118" w:name="_Toc323892728"/>
      <w:bookmarkStart w:id="119" w:name="_Toc323893876"/>
      <w:bookmarkStart w:id="120" w:name="_Toc323892999"/>
      <w:r>
        <w:t>插接器或端子的连接</w:t>
      </w:r>
      <w:bookmarkEnd w:id="116"/>
      <w:bookmarkEnd w:id="117"/>
      <w:bookmarkEnd w:id="118"/>
      <w:bookmarkEnd w:id="119"/>
      <w:bookmarkEnd w:id="120"/>
    </w:p>
    <w:p>
      <w:pPr>
        <w:pStyle w:val="80"/>
        <w:ind w:firstLine="420"/>
      </w:pPr>
    </w:p>
    <w:p>
      <w:pPr>
        <w:pStyle w:val="40"/>
        <w:rPr>
          <w:rFonts w:ascii="Arial" w:hAnsi="Arial" w:cs="Arial"/>
        </w:rPr>
      </w:pPr>
      <w:r>
        <w:rPr>
          <w:rFonts w:ascii="Arial" w:hAnsi="Arial" w:cs="Arial"/>
        </w:rPr>
        <w:t>电线束的插接器或端子，与发动机部件连接时，其距离插接器或端子最近固定点，应满足</w:t>
      </w:r>
      <w:r>
        <w:rPr>
          <w:bCs/>
        </w:rPr>
        <w:t>QC/T 1067.1</w:t>
      </w:r>
      <w:r>
        <w:rPr>
          <w:rFonts w:ascii="Arial" w:hAnsi="Arial" w:cs="Arial"/>
        </w:rPr>
        <w:t xml:space="preserve">的要求；与其他功能线束连接的成对插接器，对插接器要单独刚性固定。 </w:t>
      </w:r>
    </w:p>
    <w:p>
      <w:pPr>
        <w:pStyle w:val="40"/>
        <w:rPr>
          <w:rFonts w:ascii="Arial" w:hAnsi="Arial" w:cs="Arial"/>
        </w:rPr>
      </w:pPr>
    </w:p>
    <w:p>
      <w:pPr>
        <w:pStyle w:val="127"/>
        <w:spacing w:before="156" w:after="156"/>
      </w:pPr>
      <w:bookmarkStart w:id="121" w:name="_Toc197519410"/>
      <w:bookmarkStart w:id="122" w:name="_Toc323893877"/>
      <w:bookmarkStart w:id="123" w:name="_Toc323892874"/>
      <w:bookmarkStart w:id="124" w:name="_Toc323892729"/>
      <w:bookmarkStart w:id="125" w:name="_Toc323893000"/>
      <w:r>
        <w:t>安装与固定</w:t>
      </w:r>
      <w:bookmarkEnd w:id="121"/>
      <w:bookmarkEnd w:id="122"/>
      <w:bookmarkEnd w:id="123"/>
      <w:bookmarkEnd w:id="124"/>
      <w:bookmarkEnd w:id="125"/>
    </w:p>
    <w:p>
      <w:pPr>
        <w:pStyle w:val="80"/>
        <w:ind w:firstLine="420"/>
      </w:pPr>
    </w:p>
    <w:p>
      <w:pPr>
        <w:pStyle w:val="40"/>
        <w:rPr>
          <w:rFonts w:ascii="Arial" w:hAnsi="Arial" w:cs="Arial"/>
        </w:rPr>
      </w:pPr>
      <w:r>
        <w:rPr>
          <w:rFonts w:ascii="Arial" w:hAnsi="Arial" w:cs="Arial"/>
          <w:kern w:val="2"/>
        </w:rPr>
        <w:t>电线束</w:t>
      </w:r>
      <w:r>
        <w:rPr>
          <w:rFonts w:ascii="Arial" w:hAnsi="Arial" w:cs="Arial"/>
        </w:rPr>
        <w:t>的安装及干线的固定，固定点距离不大于150mm；与机体不接触的线束，保证在发动机工作时，不产生相对运动；对于与发动机机体或其它部件接触的线体，在发动机工作时，不允许产生相互摩擦，与线束接触的机体部位表面光滑，不允许与有尖角部位直接接触；异型部位要采用可靠的塑料骨架或成型橡胶覆盖方式与机体固定。</w:t>
      </w:r>
    </w:p>
    <w:p>
      <w:pPr>
        <w:pStyle w:val="80"/>
        <w:ind w:firstLine="420"/>
      </w:pPr>
    </w:p>
    <w:p>
      <w:pPr>
        <w:pStyle w:val="126"/>
        <w:spacing w:before="312" w:after="312"/>
      </w:pPr>
      <w:bookmarkStart w:id="126" w:name="_Toc197519411"/>
      <w:r>
        <w:rPr>
          <w:rFonts w:hint="eastAsia"/>
        </w:rPr>
        <w:t>试验方法</w:t>
      </w:r>
      <w:bookmarkEnd w:id="126"/>
    </w:p>
    <w:p>
      <w:pPr>
        <w:pStyle w:val="127"/>
        <w:spacing w:before="156" w:after="156"/>
      </w:pPr>
      <w:bookmarkStart w:id="127" w:name="_Toc197519412"/>
      <w:bookmarkStart w:id="128" w:name="_Toc323893880"/>
      <w:bookmarkStart w:id="129" w:name="_Toc323892732"/>
      <w:bookmarkStart w:id="130" w:name="_Toc323740721"/>
      <w:bookmarkStart w:id="131" w:name="_Toc323893003"/>
      <w:bookmarkStart w:id="132" w:name="_Toc323740657"/>
      <w:bookmarkStart w:id="133" w:name="_Toc323892877"/>
      <w:r>
        <w:t>试验条件</w:t>
      </w:r>
      <w:bookmarkEnd w:id="127"/>
      <w:bookmarkEnd w:id="128"/>
      <w:bookmarkEnd w:id="129"/>
      <w:bookmarkEnd w:id="130"/>
      <w:bookmarkEnd w:id="131"/>
      <w:bookmarkEnd w:id="132"/>
      <w:bookmarkEnd w:id="133"/>
      <w:bookmarkStart w:id="134" w:name="_Toc323893004"/>
      <w:bookmarkStart w:id="135" w:name="_Toc323740722"/>
      <w:bookmarkStart w:id="136" w:name="_Toc323892878"/>
      <w:bookmarkStart w:id="137" w:name="_Toc323893881"/>
      <w:bookmarkStart w:id="138" w:name="_Toc323892733"/>
      <w:bookmarkStart w:id="139" w:name="_Toc323740658"/>
    </w:p>
    <w:p>
      <w:pPr>
        <w:pStyle w:val="40"/>
        <w:rPr>
          <w:rFonts w:ascii="Arial" w:hAnsi="Arial" w:cs="Arial"/>
          <w:szCs w:val="21"/>
        </w:rPr>
      </w:pPr>
      <w:r>
        <w:rPr>
          <w:rFonts w:ascii="Arial" w:hAnsi="Arial" w:cs="Arial"/>
          <w:szCs w:val="21"/>
        </w:rPr>
        <w:t>在具体试验方法中如无其他规定，试验应在下述条件下稳定2</w:t>
      </w:r>
      <w:r>
        <w:rPr>
          <w:rFonts w:hint="eastAsia" w:ascii="Arial" w:hAnsi="Arial" w:cs="Arial"/>
          <w:szCs w:val="21"/>
        </w:rPr>
        <w:t>4</w:t>
      </w:r>
      <w:r>
        <w:rPr>
          <w:rFonts w:ascii="Arial" w:hAnsi="Arial" w:cs="Arial"/>
          <w:szCs w:val="21"/>
        </w:rPr>
        <w:t>h后进行</w:t>
      </w:r>
      <w:r>
        <w:rPr>
          <w:rFonts w:hint="eastAsia" w:ascii="Arial" w:hAnsi="Arial" w:cs="Arial"/>
          <w:szCs w:val="21"/>
        </w:rPr>
        <w:t>。</w:t>
      </w:r>
    </w:p>
    <w:p>
      <w:pPr>
        <w:pStyle w:val="151"/>
      </w:pPr>
      <w:r>
        <w:t>环境温度：18</w:t>
      </w:r>
      <w:r>
        <w:rPr>
          <w:rFonts w:hint="eastAsia" w:hAnsi="宋体" w:cs="宋体"/>
        </w:rPr>
        <w:t>℃</w:t>
      </w:r>
      <w:r>
        <w:t>～28</w:t>
      </w:r>
      <w:r>
        <w:rPr>
          <w:rFonts w:hint="eastAsia" w:hAnsi="宋体" w:cs="宋体"/>
        </w:rPr>
        <w:t>℃</w:t>
      </w:r>
      <w:r>
        <w:t>；</w:t>
      </w:r>
    </w:p>
    <w:p>
      <w:pPr>
        <w:pStyle w:val="151"/>
      </w:pPr>
      <w:r>
        <w:t>空气相对湿度：45%～75%；</w:t>
      </w:r>
    </w:p>
    <w:p>
      <w:pPr>
        <w:pStyle w:val="151"/>
      </w:pPr>
      <w:r>
        <w:t>大气压力：86kPa～106kPa。</w:t>
      </w:r>
    </w:p>
    <w:p>
      <w:pPr>
        <w:pStyle w:val="151"/>
        <w:numPr>
          <w:ilvl w:val="0"/>
          <w:numId w:val="0"/>
        </w:numPr>
        <w:ind w:left="851"/>
      </w:pPr>
    </w:p>
    <w:p>
      <w:pPr>
        <w:pStyle w:val="127"/>
        <w:spacing w:before="156" w:after="156"/>
      </w:pPr>
      <w:bookmarkStart w:id="140" w:name="_Toc197519413"/>
      <w:r>
        <w:t>尺寸检测</w:t>
      </w:r>
      <w:bookmarkEnd w:id="134"/>
      <w:bookmarkEnd w:id="135"/>
      <w:bookmarkEnd w:id="136"/>
      <w:bookmarkEnd w:id="137"/>
      <w:bookmarkEnd w:id="138"/>
      <w:bookmarkEnd w:id="139"/>
      <w:bookmarkEnd w:id="140"/>
    </w:p>
    <w:p>
      <w:pPr>
        <w:pStyle w:val="80"/>
        <w:ind w:firstLine="420"/>
      </w:pPr>
    </w:p>
    <w:p>
      <w:pPr>
        <w:pStyle w:val="40"/>
        <w:rPr>
          <w:rFonts w:hint="eastAsia" w:ascii="Arial" w:hAnsi="宋体" w:cs="Arial"/>
          <w:szCs w:val="21"/>
        </w:rPr>
      </w:pPr>
      <w:r>
        <w:rPr>
          <w:rFonts w:ascii="Arial" w:hAnsi="宋体" w:cs="Arial"/>
          <w:szCs w:val="21"/>
        </w:rPr>
        <w:t>电线束尺寸在不大于</w:t>
      </w:r>
      <w:r>
        <w:rPr>
          <w:rFonts w:ascii="Arial" w:hAnsi="Arial" w:cs="Arial"/>
          <w:szCs w:val="21"/>
        </w:rPr>
        <w:t>5N</w:t>
      </w:r>
      <w:r>
        <w:rPr>
          <w:rFonts w:hint="eastAsia" w:ascii="Arial" w:hAnsi="Arial" w:cs="Arial"/>
          <w:szCs w:val="21"/>
        </w:rPr>
        <w:t>的</w:t>
      </w:r>
      <w:r>
        <w:rPr>
          <w:rFonts w:ascii="Arial" w:hAnsi="宋体" w:cs="Arial"/>
          <w:szCs w:val="21"/>
        </w:rPr>
        <w:t>外力拉伸下用钢卷尺检测，应符合</w:t>
      </w:r>
      <w:r>
        <w:rPr>
          <w:rFonts w:ascii="Arial" w:hAnsi="Arial" w:cs="Arial"/>
          <w:szCs w:val="21"/>
        </w:rPr>
        <w:t>4.2</w:t>
      </w:r>
      <w:r>
        <w:rPr>
          <w:rFonts w:ascii="Arial" w:hAnsi="宋体" w:cs="Arial"/>
          <w:szCs w:val="21"/>
        </w:rPr>
        <w:t>的规定。</w:t>
      </w:r>
    </w:p>
    <w:p>
      <w:pPr>
        <w:pStyle w:val="40"/>
        <w:rPr>
          <w:rFonts w:ascii="Arial" w:hAnsi="Arial" w:cs="Arial"/>
          <w:szCs w:val="21"/>
        </w:rPr>
      </w:pPr>
    </w:p>
    <w:p>
      <w:pPr>
        <w:pStyle w:val="127"/>
        <w:spacing w:before="156" w:after="156"/>
      </w:pPr>
      <w:bookmarkStart w:id="141" w:name="_Toc323893005"/>
      <w:bookmarkStart w:id="142" w:name="_Toc323740723"/>
      <w:bookmarkStart w:id="143" w:name="_Toc323892879"/>
      <w:bookmarkStart w:id="144" w:name="_Toc323893882"/>
      <w:bookmarkStart w:id="145" w:name="_Toc323740659"/>
      <w:bookmarkStart w:id="146" w:name="_Toc197519414"/>
      <w:bookmarkStart w:id="147" w:name="_Toc323892734"/>
      <w:r>
        <w:t>外观检查</w:t>
      </w:r>
      <w:bookmarkEnd w:id="141"/>
      <w:bookmarkEnd w:id="142"/>
      <w:bookmarkEnd w:id="143"/>
      <w:bookmarkEnd w:id="144"/>
      <w:bookmarkEnd w:id="145"/>
      <w:bookmarkEnd w:id="146"/>
      <w:bookmarkEnd w:id="147"/>
    </w:p>
    <w:p>
      <w:pPr>
        <w:pStyle w:val="80"/>
        <w:ind w:firstLine="420"/>
      </w:pPr>
    </w:p>
    <w:p>
      <w:pPr>
        <w:pStyle w:val="40"/>
        <w:rPr>
          <w:rFonts w:hint="eastAsia" w:ascii="Arial" w:hAnsi="宋体" w:cs="Arial"/>
          <w:szCs w:val="21"/>
        </w:rPr>
      </w:pPr>
      <w:r>
        <w:rPr>
          <w:rFonts w:ascii="Arial" w:hAnsi="宋体" w:cs="Arial"/>
          <w:szCs w:val="21"/>
        </w:rPr>
        <w:t>电线束外观用目视法检查，应符合</w:t>
      </w:r>
      <w:r>
        <w:rPr>
          <w:rFonts w:ascii="Arial" w:hAnsi="Arial" w:cs="Arial"/>
          <w:szCs w:val="21"/>
        </w:rPr>
        <w:t>4.4.2</w:t>
      </w:r>
      <w:r>
        <w:rPr>
          <w:rFonts w:ascii="Arial" w:hAnsi="宋体" w:cs="Arial"/>
          <w:szCs w:val="21"/>
        </w:rPr>
        <w:t>、</w:t>
      </w:r>
      <w:r>
        <w:rPr>
          <w:rFonts w:ascii="Arial" w:hAnsi="Arial" w:cs="Arial"/>
          <w:szCs w:val="21"/>
        </w:rPr>
        <w:t>4.4.4</w:t>
      </w:r>
      <w:r>
        <w:rPr>
          <w:rFonts w:ascii="Arial" w:hAnsi="宋体" w:cs="Arial"/>
          <w:szCs w:val="21"/>
        </w:rPr>
        <w:t>、</w:t>
      </w:r>
      <w:r>
        <w:rPr>
          <w:rFonts w:ascii="Arial" w:hAnsi="Arial" w:cs="Arial"/>
          <w:szCs w:val="21"/>
        </w:rPr>
        <w:t>4.4.6</w:t>
      </w:r>
      <w:r>
        <w:rPr>
          <w:rFonts w:ascii="Arial" w:hAnsi="宋体" w:cs="Arial"/>
          <w:szCs w:val="21"/>
        </w:rPr>
        <w:t>、</w:t>
      </w:r>
      <w:r>
        <w:rPr>
          <w:rFonts w:ascii="Arial" w:hAnsi="Arial" w:cs="Arial"/>
          <w:szCs w:val="21"/>
        </w:rPr>
        <w:t>4.5.2</w:t>
      </w:r>
      <w:r>
        <w:rPr>
          <w:rFonts w:ascii="Arial" w:hAnsi="宋体" w:cs="Arial"/>
          <w:szCs w:val="21"/>
        </w:rPr>
        <w:t>、</w:t>
      </w:r>
      <w:r>
        <w:rPr>
          <w:rFonts w:ascii="Arial" w:hAnsi="Arial" w:cs="Arial"/>
          <w:szCs w:val="21"/>
        </w:rPr>
        <w:t>4.5.3</w:t>
      </w:r>
      <w:r>
        <w:rPr>
          <w:rFonts w:ascii="Arial" w:hAnsi="宋体" w:cs="Arial"/>
          <w:szCs w:val="21"/>
        </w:rPr>
        <w:t>、</w:t>
      </w:r>
      <w:r>
        <w:rPr>
          <w:rFonts w:ascii="Arial" w:hAnsi="Arial" w:cs="Arial"/>
          <w:szCs w:val="21"/>
        </w:rPr>
        <w:t>4.5.5</w:t>
      </w:r>
      <w:r>
        <w:rPr>
          <w:rFonts w:ascii="Arial" w:hAnsi="宋体" w:cs="Arial"/>
          <w:szCs w:val="21"/>
        </w:rPr>
        <w:t>、</w:t>
      </w:r>
      <w:r>
        <w:rPr>
          <w:rFonts w:ascii="Arial" w:hAnsi="Arial" w:cs="Arial"/>
          <w:szCs w:val="21"/>
        </w:rPr>
        <w:t>4.6</w:t>
      </w:r>
      <w:r>
        <w:rPr>
          <w:rFonts w:ascii="Arial" w:hAnsi="宋体" w:cs="Arial"/>
          <w:szCs w:val="21"/>
        </w:rPr>
        <w:t>、</w:t>
      </w:r>
      <w:r>
        <w:rPr>
          <w:rFonts w:ascii="Arial" w:hAnsi="Arial" w:cs="Arial"/>
          <w:szCs w:val="21"/>
        </w:rPr>
        <w:t>4.7</w:t>
      </w:r>
      <w:r>
        <w:rPr>
          <w:rFonts w:ascii="Arial" w:hAnsi="宋体" w:cs="Arial"/>
          <w:szCs w:val="21"/>
        </w:rPr>
        <w:t>、</w:t>
      </w:r>
      <w:r>
        <w:rPr>
          <w:rFonts w:ascii="Arial" w:hAnsi="Arial" w:cs="Arial"/>
          <w:szCs w:val="21"/>
        </w:rPr>
        <w:t>4.8</w:t>
      </w:r>
      <w:r>
        <w:rPr>
          <w:rFonts w:ascii="Arial" w:hAnsi="宋体" w:cs="Arial"/>
          <w:szCs w:val="21"/>
        </w:rPr>
        <w:t>、</w:t>
      </w:r>
      <w:r>
        <w:rPr>
          <w:rFonts w:ascii="Arial" w:hAnsi="Arial" w:cs="Arial"/>
          <w:szCs w:val="21"/>
        </w:rPr>
        <w:t>4.9</w:t>
      </w:r>
      <w:r>
        <w:rPr>
          <w:rFonts w:ascii="Arial" w:hAnsi="宋体" w:cs="Arial"/>
          <w:szCs w:val="21"/>
        </w:rPr>
        <w:t>的规定。</w:t>
      </w:r>
    </w:p>
    <w:p>
      <w:pPr>
        <w:pStyle w:val="40"/>
        <w:rPr>
          <w:rFonts w:ascii="Arial" w:hAnsi="Arial" w:cs="Arial"/>
          <w:szCs w:val="21"/>
        </w:rPr>
      </w:pPr>
    </w:p>
    <w:p>
      <w:pPr>
        <w:pStyle w:val="127"/>
        <w:spacing w:before="156" w:after="156"/>
      </w:pPr>
      <w:bookmarkStart w:id="148" w:name="_Toc323892880"/>
      <w:bookmarkStart w:id="149" w:name="_Toc323892735"/>
      <w:bookmarkStart w:id="150" w:name="_Toc323893006"/>
      <w:bookmarkStart w:id="151" w:name="_Toc323893883"/>
      <w:bookmarkStart w:id="152" w:name="_Toc323740724"/>
      <w:bookmarkStart w:id="153" w:name="_Toc197519415"/>
      <w:bookmarkStart w:id="154" w:name="_Toc323740660"/>
      <w:r>
        <w:t>弯折试验</w:t>
      </w:r>
      <w:bookmarkEnd w:id="148"/>
      <w:bookmarkEnd w:id="149"/>
      <w:bookmarkEnd w:id="150"/>
      <w:bookmarkEnd w:id="151"/>
      <w:bookmarkEnd w:id="152"/>
      <w:bookmarkEnd w:id="153"/>
      <w:bookmarkEnd w:id="154"/>
    </w:p>
    <w:p>
      <w:pPr>
        <w:pStyle w:val="80"/>
        <w:ind w:firstLine="420"/>
      </w:pPr>
    </w:p>
    <w:p>
      <w:pPr>
        <w:pStyle w:val="40"/>
        <w:rPr>
          <w:rFonts w:ascii="Arial" w:hAnsi="Arial" w:cs="Arial"/>
          <w:szCs w:val="21"/>
        </w:rPr>
      </w:pPr>
      <w:r>
        <w:rPr>
          <w:rFonts w:ascii="Arial" w:hAnsi="宋体" w:cs="Arial"/>
          <w:szCs w:val="21"/>
        </w:rPr>
        <w:t>绝缘层压接部位弯折试验按图</w:t>
      </w:r>
      <w:r>
        <w:rPr>
          <w:rFonts w:hint="eastAsia" w:ascii="Arial" w:hAnsi="宋体" w:cs="Arial"/>
          <w:szCs w:val="21"/>
        </w:rPr>
        <w:t>7</w:t>
      </w:r>
      <w:r>
        <w:rPr>
          <w:rFonts w:ascii="Arial" w:hAnsi="宋体" w:cs="Arial"/>
          <w:szCs w:val="21"/>
        </w:rPr>
        <w:t>所示进行。以轴线为基准弯折</w:t>
      </w:r>
      <w:r>
        <w:rPr>
          <w:rFonts w:ascii="Arial" w:hAnsi="Arial" w:cs="Arial"/>
          <w:szCs w:val="21"/>
        </w:rPr>
        <w:t>45°</w:t>
      </w:r>
      <w:r>
        <w:rPr>
          <w:rFonts w:ascii="Arial" w:hAnsi="宋体" w:cs="Arial"/>
          <w:szCs w:val="21"/>
        </w:rPr>
        <w:t>，再向相反方向弯折</w:t>
      </w:r>
      <w:r>
        <w:rPr>
          <w:rFonts w:ascii="Arial" w:hAnsi="Arial" w:cs="Arial"/>
          <w:szCs w:val="21"/>
        </w:rPr>
        <w:t>90°</w:t>
      </w:r>
      <w:r>
        <w:rPr>
          <w:rFonts w:ascii="Arial" w:hAnsi="宋体" w:cs="Arial"/>
          <w:szCs w:val="21"/>
        </w:rPr>
        <w:t>，然后回到轴线这一过程为一个循环。</w:t>
      </w:r>
      <w:r>
        <w:rPr>
          <w:rFonts w:hint="eastAsia" w:ascii="Arial" w:hAnsi="宋体" w:cs="Arial"/>
          <w:szCs w:val="21"/>
        </w:rPr>
        <w:t>绝缘压接甩线</w:t>
      </w:r>
      <w:r>
        <w:rPr>
          <w:rFonts w:ascii="Arial" w:hAnsi="宋体" w:cs="Arial"/>
          <w:szCs w:val="21"/>
        </w:rPr>
        <w:t>50mm，在只压接端子绝缘区的情况下，导线上下折弯30°后，</w:t>
      </w:r>
      <w:r>
        <w:rPr>
          <w:rFonts w:hint="eastAsia" w:ascii="Arial" w:hAnsi="宋体" w:cs="Arial"/>
          <w:szCs w:val="21"/>
        </w:rPr>
        <w:t>进行</w:t>
      </w:r>
      <w:r>
        <w:rPr>
          <w:rFonts w:ascii="Arial" w:hAnsi="宋体" w:cs="Arial"/>
          <w:szCs w:val="21"/>
        </w:rPr>
        <w:t>绝缘压接部分不松脱拉力试验</w:t>
      </w:r>
      <w:r>
        <w:rPr>
          <w:rFonts w:hint="eastAsia" w:ascii="Arial" w:hAnsi="宋体" w:cs="Arial"/>
          <w:szCs w:val="21"/>
        </w:rPr>
        <w:t>。</w:t>
      </w:r>
    </w:p>
    <w:p>
      <w:pPr>
        <w:pStyle w:val="40"/>
        <w:ind w:firstLine="0" w:firstLineChars="0"/>
        <w:jc w:val="left"/>
        <w:rPr>
          <w:rFonts w:ascii="Arial" w:hAnsi="Arial" w:cs="Arial"/>
          <w:szCs w:val="21"/>
        </w:rPr>
      </w:pPr>
      <w:r>
        <w:drawing>
          <wp:inline distT="0" distB="0" distL="0" distR="0">
            <wp:extent cx="5934710" cy="17856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6" cstate="print">
                      <a:extLst>
                        <a:ext uri="{28A0092B-C50C-407E-A947-70E740481C1C}">
                          <a14:useLocalDpi xmlns:a14="http://schemas.microsoft.com/office/drawing/2010/main" val="0"/>
                        </a:ext>
                      </a:extLst>
                    </a:blip>
                    <a:srcRect t="22423" b="24184"/>
                    <a:stretch>
                      <a:fillRect/>
                    </a:stretch>
                  </pic:blipFill>
                  <pic:spPr>
                    <a:xfrm>
                      <a:off x="0" y="0"/>
                      <a:ext cx="5939790" cy="1787117"/>
                    </a:xfrm>
                    <a:prstGeom prst="rect">
                      <a:avLst/>
                    </a:prstGeom>
                    <a:noFill/>
                    <a:ln>
                      <a:noFill/>
                    </a:ln>
                  </pic:spPr>
                </pic:pic>
              </a:graphicData>
            </a:graphic>
          </wp:inline>
        </w:drawing>
      </w:r>
    </w:p>
    <w:p>
      <w:pPr>
        <w:pStyle w:val="136"/>
        <w:jc w:val="center"/>
      </w:pPr>
      <w:bookmarkStart w:id="155" w:name="_Toc196816848"/>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7</w:t>
      </w:r>
      <w:r>
        <w:fldChar w:fldCharType="end"/>
      </w:r>
      <w:r>
        <w:rPr>
          <w:rFonts w:hint="eastAsia"/>
        </w:rPr>
        <w:t>弯折试验示意图</w:t>
      </w:r>
      <w:bookmarkEnd w:id="155"/>
    </w:p>
    <w:p>
      <w:pPr>
        <w:pStyle w:val="127"/>
        <w:spacing w:before="156" w:after="156"/>
      </w:pPr>
      <w:bookmarkStart w:id="156" w:name="_Toc323893007"/>
      <w:bookmarkStart w:id="157" w:name="_Toc323740661"/>
      <w:bookmarkStart w:id="158" w:name="_Toc323893884"/>
      <w:bookmarkStart w:id="159" w:name="_Toc323740725"/>
      <w:bookmarkStart w:id="160" w:name="_Toc197519416"/>
      <w:bookmarkStart w:id="161" w:name="_Toc323892736"/>
      <w:bookmarkStart w:id="162" w:name="_Toc323892881"/>
      <w:r>
        <w:t>拉力试验</w:t>
      </w:r>
      <w:bookmarkEnd w:id="156"/>
      <w:bookmarkEnd w:id="157"/>
      <w:bookmarkEnd w:id="158"/>
      <w:bookmarkEnd w:id="159"/>
      <w:bookmarkEnd w:id="160"/>
      <w:bookmarkEnd w:id="161"/>
      <w:bookmarkEnd w:id="162"/>
    </w:p>
    <w:p>
      <w:pPr>
        <w:pStyle w:val="184"/>
        <w:rPr>
          <w:rFonts w:hAnsi="Arial"/>
        </w:rPr>
      </w:pPr>
      <w:r>
        <w:t>电线与端子连接、接点的拉力试验应用示值相对误差不大于</w:t>
      </w:r>
      <w:r>
        <w:rPr>
          <w:rFonts w:hAnsi="Arial"/>
        </w:rPr>
        <w:t>1%</w:t>
      </w:r>
      <w:r>
        <w:t>的拉力试验机检测，拉力试验机夹头的位移应匀速运动，其速度为</w:t>
      </w:r>
      <w:r>
        <w:rPr>
          <w:rFonts w:hAnsi="Arial"/>
        </w:rPr>
        <w:t>25mm/min</w:t>
      </w:r>
      <w:r>
        <w:t>～</w:t>
      </w:r>
      <w:r>
        <w:rPr>
          <w:rFonts w:hAnsi="Arial"/>
        </w:rPr>
        <w:t>l00mm/min</w:t>
      </w:r>
      <w:r>
        <w:t>。</w:t>
      </w:r>
    </w:p>
    <w:p>
      <w:pPr>
        <w:pStyle w:val="184"/>
        <w:numPr>
          <w:ilvl w:val="0"/>
          <w:numId w:val="0"/>
        </w:numPr>
        <w:rPr>
          <w:rFonts w:hAnsi="Arial"/>
        </w:rPr>
      </w:pPr>
    </w:p>
    <w:p>
      <w:pPr>
        <w:pStyle w:val="184"/>
        <w:rPr>
          <w:rFonts w:hAnsi="Arial"/>
        </w:rPr>
      </w:pPr>
      <w:r>
        <w:t>无焊料焊接接点撕裂力</w:t>
      </w:r>
      <w:r>
        <w:rPr>
          <w:rFonts w:hint="eastAsia"/>
        </w:rPr>
        <w:t>的</w:t>
      </w:r>
      <w:r>
        <w:t>试验如图</w:t>
      </w:r>
      <w:r>
        <w:rPr>
          <w:rFonts w:hint="eastAsia" w:hAnsi="Arial"/>
        </w:rPr>
        <w:t>8</w:t>
      </w:r>
      <w:r>
        <w:t>所示。</w:t>
      </w:r>
    </w:p>
    <w:p>
      <w:pPr>
        <w:pStyle w:val="184"/>
        <w:numPr>
          <w:ilvl w:val="0"/>
          <w:numId w:val="0"/>
        </w:numPr>
        <w:rPr>
          <w:rFonts w:hAnsi="Arial"/>
        </w:rPr>
      </w:pPr>
    </w:p>
    <w:p>
      <w:pPr>
        <w:pStyle w:val="127"/>
        <w:spacing w:before="156" w:after="156"/>
      </w:pPr>
      <w:bookmarkStart w:id="163" w:name="_Toc323892882"/>
      <w:bookmarkStart w:id="164" w:name="_Toc323893008"/>
      <w:bookmarkStart w:id="165" w:name="_Toc197519417"/>
      <w:bookmarkStart w:id="166" w:name="_Toc323892737"/>
      <w:bookmarkStart w:id="167" w:name="_Toc323893885"/>
      <w:r>
        <w:t>端子与导体压接和压接接点横断面检验</w:t>
      </w:r>
      <w:bookmarkEnd w:id="163"/>
      <w:bookmarkEnd w:id="164"/>
      <w:bookmarkEnd w:id="165"/>
      <w:bookmarkEnd w:id="166"/>
      <w:bookmarkEnd w:id="167"/>
    </w:p>
    <w:p>
      <w:pPr>
        <w:pStyle w:val="184"/>
      </w:pPr>
      <w:r>
        <w:t>试样的制作：将受检试样按图</w:t>
      </w:r>
      <w:r>
        <w:rPr>
          <w:rFonts w:hint="eastAsia"/>
        </w:rPr>
        <w:t>9</w:t>
      </w:r>
      <w:r>
        <w:t>所示位置</w:t>
      </w:r>
      <w:r>
        <w:rPr>
          <w:rFonts w:hint="eastAsia"/>
        </w:rPr>
        <w:t>（</w:t>
      </w:r>
      <w:r>
        <w:t>应避开端子的加强筋</w:t>
      </w:r>
      <w:r>
        <w:rPr>
          <w:rFonts w:hint="eastAsia"/>
        </w:rPr>
        <w:t>）</w:t>
      </w:r>
      <w:r>
        <w:t xml:space="preserve">截断后，取其中一侧作为试样，其断面应磨平，并做化学腐蚀处理，直至能够完全显示截面状态。  </w:t>
      </w:r>
    </w:p>
    <w:p>
      <w:pPr>
        <w:pStyle w:val="184"/>
        <w:numPr>
          <w:ilvl w:val="0"/>
          <w:numId w:val="0"/>
        </w:numPr>
      </w:pPr>
    </w:p>
    <w:p>
      <w:pPr>
        <w:pStyle w:val="184"/>
      </w:pPr>
      <w:r>
        <w:t>试样检验：将做好的试样断面用显微镜观察，按附录A</w:t>
      </w:r>
      <w:r>
        <w:rPr>
          <w:rFonts w:hint="eastAsia"/>
        </w:rPr>
        <w:t>的</w:t>
      </w:r>
      <w:r>
        <w:t>要求对照检验。</w:t>
      </w:r>
    </w:p>
    <w:p>
      <w:pPr>
        <w:pStyle w:val="40"/>
        <w:ind w:firstLine="0" w:firstLineChars="0"/>
        <w:jc w:val="center"/>
      </w:pPr>
      <w:r>
        <w:rPr>
          <w:rFonts w:ascii="Arial" w:hAnsi="Arial" w:cs="Arial"/>
          <w:sz w:val="18"/>
          <w:szCs w:val="18"/>
          <w:lang w:val="zh-CN"/>
        </w:rPr>
        <w:object>
          <v:shape id="_x0000_i1027" o:spt="75" type="#_x0000_t75" style="height:156pt;width:233.25pt;" o:ole="t" filled="f" o:preferrelative="t" stroked="f" coordsize="21600,21600">
            <v:path/>
            <v:fill on="f" focussize="0,0"/>
            <v:stroke on="f" joinstyle="miter"/>
            <v:imagedata r:id="rId28" o:title=""/>
            <o:lock v:ext="edit" aspectratio="t"/>
            <w10:wrap type="none"/>
            <w10:anchorlock/>
          </v:shape>
          <o:OLEObject Type="Embed" ProgID="Picture.PicObj.1" ShapeID="_x0000_i1027" DrawAspect="Content" ObjectID="_1468075727" r:id="rId27">
            <o:LockedField>false</o:LockedField>
          </o:OLEObject>
        </w:object>
      </w:r>
    </w:p>
    <w:p>
      <w:pPr>
        <w:pStyle w:val="136"/>
        <w:jc w:val="center"/>
      </w:pPr>
      <w:bookmarkStart w:id="168" w:name="_Toc196816849"/>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8</w:t>
      </w:r>
      <w:r>
        <w:fldChar w:fldCharType="end"/>
      </w:r>
      <w:r>
        <w:rPr>
          <w:rFonts w:hint="eastAsia"/>
        </w:rPr>
        <w:t>无焊料焊接接点撕裂力试验示意图</w:t>
      </w:r>
      <w:bookmarkEnd w:id="168"/>
    </w:p>
    <w:p>
      <w:pPr>
        <w:pStyle w:val="80"/>
        <w:ind w:firstLine="420"/>
      </w:pPr>
    </w:p>
    <w:p>
      <w:pPr>
        <w:pStyle w:val="80"/>
        <w:ind w:firstLine="420"/>
      </w:pPr>
    </w:p>
    <w:p>
      <w:pPr>
        <w:pStyle w:val="40"/>
        <w:ind w:firstLine="0" w:firstLineChars="0"/>
        <w:jc w:val="center"/>
      </w:pPr>
      <w:r>
        <w:rPr>
          <w:rFonts w:ascii="Arial" w:hAnsi="Arial" w:cs="Arial"/>
          <w:sz w:val="18"/>
          <w:szCs w:val="18"/>
          <w:lang w:val="zh-CN"/>
        </w:rPr>
        <w:object>
          <v:shape id="_x0000_i1028" o:spt="75" type="#_x0000_t75" style="height:103.5pt;width:219.75pt;" o:ole="t" filled="f" o:preferrelative="t" stroked="f" coordsize="21600,21600">
            <v:path/>
            <v:fill on="f" focussize="0,0"/>
            <v:stroke on="f" joinstyle="miter"/>
            <v:imagedata r:id="rId30" o:title=""/>
            <o:lock v:ext="edit" aspectratio="t"/>
            <w10:wrap type="none"/>
            <w10:anchorlock/>
          </v:shape>
          <o:OLEObject Type="Embed" ProgID="Picture.PicObj.1" ShapeID="_x0000_i1028" DrawAspect="Content" ObjectID="_1468075728" r:id="rId29">
            <o:LockedField>false</o:LockedField>
          </o:OLEObject>
        </w:object>
      </w:r>
    </w:p>
    <w:p>
      <w:pPr>
        <w:pStyle w:val="136"/>
        <w:jc w:val="center"/>
      </w:pPr>
      <w:bookmarkStart w:id="169" w:name="_Toc196816850"/>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9</w:t>
      </w:r>
      <w:r>
        <w:fldChar w:fldCharType="end"/>
      </w:r>
      <w:r>
        <w:rPr>
          <w:rFonts w:hint="eastAsia"/>
        </w:rPr>
        <w:t>横断面检验示意图</w:t>
      </w:r>
      <w:bookmarkEnd w:id="169"/>
    </w:p>
    <w:p>
      <w:pPr>
        <w:pStyle w:val="127"/>
        <w:spacing w:before="156" w:after="156"/>
        <w:rPr>
          <w:rFonts w:hAnsi="Arial"/>
        </w:rPr>
      </w:pPr>
      <w:bookmarkStart w:id="170" w:name="_Toc323892883"/>
      <w:bookmarkStart w:id="171" w:name="_Toc323893886"/>
      <w:bookmarkStart w:id="172" w:name="_Toc323892738"/>
      <w:bookmarkStart w:id="173" w:name="_Toc323740727"/>
      <w:bookmarkStart w:id="174" w:name="_Toc323893009"/>
      <w:bookmarkStart w:id="175" w:name="_Toc197519418"/>
      <w:bookmarkStart w:id="176" w:name="_Toc323740663"/>
      <w:r>
        <w:t>电压降试验</w:t>
      </w:r>
      <w:bookmarkEnd w:id="170"/>
      <w:bookmarkEnd w:id="171"/>
      <w:bookmarkEnd w:id="172"/>
      <w:bookmarkEnd w:id="173"/>
      <w:bookmarkEnd w:id="174"/>
      <w:bookmarkEnd w:id="175"/>
      <w:bookmarkEnd w:id="176"/>
    </w:p>
    <w:p>
      <w:pPr>
        <w:pStyle w:val="184"/>
        <w:rPr>
          <w:rFonts w:hAnsi="Arial"/>
        </w:rPr>
      </w:pPr>
      <w:r>
        <w:t>端子与电线压接处的电压降试验按图</w:t>
      </w:r>
      <w:r>
        <w:rPr>
          <w:rFonts w:hint="eastAsia"/>
        </w:rPr>
        <w:t>10和图11</w:t>
      </w:r>
      <w:r>
        <w:t>所示，在端子与电线压接处中间位置至电线75 mm长的电线处</w:t>
      </w:r>
      <w:r>
        <w:rPr>
          <w:rFonts w:hint="eastAsia"/>
        </w:rPr>
        <w:t>（</w:t>
      </w:r>
      <w:r>
        <w:t>剥去绝缘层钎焊牢固</w:t>
      </w:r>
      <w:r>
        <w:rPr>
          <w:rFonts w:hint="eastAsia"/>
        </w:rPr>
        <w:t>）</w:t>
      </w:r>
      <w:r>
        <w:t>的两点间测量，扣除</w:t>
      </w:r>
      <w:r>
        <w:rPr>
          <w:rFonts w:hAnsi="Arial"/>
        </w:rPr>
        <w:t>75mm</w:t>
      </w:r>
      <w:r>
        <w:t>长的电线电压降后既为端子与电线压接处的电压降。当一个端子同时连接两根或两根以上电线时对各根电线分别施加电流以测量电压降。</w:t>
      </w:r>
    </w:p>
    <w:p>
      <w:pPr>
        <w:pStyle w:val="40"/>
        <w:ind w:firstLine="0" w:firstLineChars="0"/>
        <w:jc w:val="center"/>
      </w:pPr>
      <w:r>
        <w:rPr>
          <w:rFonts w:ascii="Arial" w:hAnsi="Arial" w:cs="Arial"/>
          <w:sz w:val="18"/>
          <w:szCs w:val="18"/>
          <w:lang w:val="zh-CN"/>
        </w:rPr>
        <w:object>
          <v:shape id="_x0000_i1029" o:spt="75" type="#_x0000_t75" style="height:103.5pt;width:192.75pt;" o:ole="t" filled="f" o:preferrelative="t" stroked="f" coordsize="21600,21600">
            <v:path/>
            <v:fill on="f" focussize="0,0"/>
            <v:stroke on="f" joinstyle="miter"/>
            <v:imagedata r:id="rId32" o:title=""/>
            <o:lock v:ext="edit" aspectratio="t"/>
            <w10:wrap type="none"/>
            <w10:anchorlock/>
          </v:shape>
          <o:OLEObject Type="Embed" ProgID="Picture.PicObj.1" ShapeID="_x0000_i1029" DrawAspect="Content" ObjectID="_1468075729" r:id="rId31">
            <o:LockedField>false</o:LockedField>
          </o:OLEObject>
        </w:object>
      </w:r>
    </w:p>
    <w:p>
      <w:pPr>
        <w:pStyle w:val="136"/>
        <w:jc w:val="center"/>
      </w:pPr>
      <w:bookmarkStart w:id="177" w:name="_Toc196816851"/>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10</w:t>
      </w:r>
      <w:r>
        <w:fldChar w:fldCharType="end"/>
      </w:r>
      <w:r>
        <w:rPr>
          <w:rFonts w:hint="eastAsia"/>
        </w:rPr>
        <w:t>端子与电线压接处的电压降试验示意图</w:t>
      </w:r>
      <w:bookmarkEnd w:id="177"/>
    </w:p>
    <w:p>
      <w:pPr>
        <w:pStyle w:val="40"/>
        <w:ind w:firstLine="0" w:firstLineChars="0"/>
        <w:jc w:val="center"/>
      </w:pPr>
      <w:r>
        <w:rPr>
          <w:rFonts w:ascii="Arial" w:hAnsi="Arial" w:cs="Arial"/>
          <w:sz w:val="18"/>
          <w:szCs w:val="18"/>
        </w:rPr>
        <w:drawing>
          <wp:inline distT="0" distB="0" distL="0" distR="0">
            <wp:extent cx="3209925" cy="2495550"/>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3" cstate="print"/>
                    <a:srcRect l="10109" t="2426" r="9747" b="4582"/>
                    <a:stretch>
                      <a:fillRect/>
                    </a:stretch>
                  </pic:blipFill>
                  <pic:spPr>
                    <a:xfrm>
                      <a:off x="0" y="0"/>
                      <a:ext cx="3209925" cy="2495550"/>
                    </a:xfrm>
                    <a:prstGeom prst="rect">
                      <a:avLst/>
                    </a:prstGeom>
                    <a:noFill/>
                    <a:ln w="9525">
                      <a:noFill/>
                      <a:miter lim="800000"/>
                      <a:headEnd/>
                      <a:tailEnd/>
                    </a:ln>
                  </pic:spPr>
                </pic:pic>
              </a:graphicData>
            </a:graphic>
          </wp:inline>
        </w:drawing>
      </w:r>
    </w:p>
    <w:p>
      <w:pPr>
        <w:pStyle w:val="136"/>
        <w:jc w:val="center"/>
      </w:pPr>
      <w:bookmarkStart w:id="178" w:name="_Toc196816852"/>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11</w:t>
      </w:r>
      <w:r>
        <w:fldChar w:fldCharType="end"/>
      </w:r>
      <w:r>
        <w:rPr>
          <w:rFonts w:hint="eastAsia"/>
        </w:rPr>
        <w:t>端子与电线压接处的电压降试验电路图</w:t>
      </w:r>
      <w:bookmarkEnd w:id="178"/>
    </w:p>
    <w:p>
      <w:pPr>
        <w:pStyle w:val="184"/>
        <w:rPr>
          <w:rFonts w:hAnsi="Arial"/>
        </w:rPr>
      </w:pPr>
      <w:r>
        <w:t>接触电压降测试，端子与端子之间，圆形端子（或螺母端子）与金属连接之间电压降变化，测试电流见表</w:t>
      </w:r>
      <w:r>
        <w:rPr>
          <w:rFonts w:hAnsi="Arial"/>
        </w:rPr>
        <w:t>3</w:t>
      </w:r>
      <w:r>
        <w:rPr>
          <w:rFonts w:hint="eastAsia" w:hAnsi="Arial"/>
        </w:rPr>
        <w:t>。</w:t>
      </w:r>
      <w:r>
        <w:t>圆形端子（或螺母端子）需要施加一定力量旋紧后测试，</w:t>
      </w:r>
      <w:r>
        <w:rPr>
          <w:rFonts w:hAnsi="Arial"/>
        </w:rPr>
        <w:t>M4</w:t>
      </w:r>
      <w:r>
        <w:t>施加</w:t>
      </w:r>
      <w:r>
        <w:rPr>
          <w:rFonts w:hAnsi="Arial"/>
        </w:rPr>
        <w:t>1.5 N</w:t>
      </w:r>
      <w:r>
        <w:rPr>
          <w:rFonts w:hint="eastAsia" w:hAnsi="Arial"/>
        </w:rPr>
        <w:t>.m</w:t>
      </w:r>
      <w:r>
        <w:t>；</w:t>
      </w:r>
      <w:r>
        <w:rPr>
          <w:rFonts w:hAnsi="Arial"/>
        </w:rPr>
        <w:t>M5</w:t>
      </w:r>
      <w:r>
        <w:t>施加</w:t>
      </w:r>
      <w:r>
        <w:rPr>
          <w:rFonts w:hAnsi="Arial"/>
        </w:rPr>
        <w:t>5 N</w:t>
      </w:r>
      <w:r>
        <w:rPr>
          <w:rFonts w:hint="eastAsia" w:hAnsi="Arial"/>
        </w:rPr>
        <w:t>.m</w:t>
      </w:r>
      <w:r>
        <w:t>；</w:t>
      </w:r>
      <w:r>
        <w:rPr>
          <w:rFonts w:hAnsi="Arial"/>
        </w:rPr>
        <w:t xml:space="preserve"> M6</w:t>
      </w:r>
      <w:r>
        <w:t>施加</w:t>
      </w:r>
      <w:r>
        <w:rPr>
          <w:rFonts w:hAnsi="Arial"/>
        </w:rPr>
        <w:t>9 N</w:t>
      </w:r>
      <w:r>
        <w:rPr>
          <w:rFonts w:hint="eastAsia" w:hAnsi="Arial"/>
        </w:rPr>
        <w:t>.m</w:t>
      </w:r>
      <w:r>
        <w:t>；</w:t>
      </w:r>
      <w:r>
        <w:rPr>
          <w:rFonts w:hAnsi="Arial"/>
        </w:rPr>
        <w:t xml:space="preserve"> M8</w:t>
      </w:r>
      <w:r>
        <w:t>施加</w:t>
      </w:r>
      <w:r>
        <w:rPr>
          <w:rFonts w:hAnsi="Arial"/>
        </w:rPr>
        <w:t>14 N</w:t>
      </w:r>
      <w:r>
        <w:rPr>
          <w:rFonts w:hint="eastAsia" w:hAnsi="Arial"/>
        </w:rPr>
        <w:t>.m</w:t>
      </w:r>
      <w:r>
        <w:t>（此条款只作为线束经过腐蚀试验后电压降变化测试，电压降变化不能够超出原来的</w:t>
      </w:r>
      <w:r>
        <w:rPr>
          <w:rFonts w:hAnsi="Arial"/>
        </w:rPr>
        <w:t>1.5</w:t>
      </w:r>
      <w:r>
        <w:t>倍）。</w:t>
      </w:r>
    </w:p>
    <w:p>
      <w:pPr>
        <w:pStyle w:val="89"/>
        <w:spacing w:before="156" w:after="156"/>
        <w:rPr>
          <w:rFonts w:hAnsi="Arial"/>
        </w:rPr>
      </w:pPr>
      <w:r>
        <w:rPr>
          <w:rFonts w:hint="eastAsia" w:ascii="宋体" w:eastAsia="宋体"/>
        </w:rPr>
        <w:t>接触电阻</w:t>
      </w:r>
      <w:r>
        <w:rPr>
          <w:rFonts w:ascii="宋体" w:eastAsia="宋体"/>
        </w:rPr>
        <w:t>试验按图</w:t>
      </w:r>
      <w:r>
        <w:rPr>
          <w:rFonts w:hint="eastAsia" w:ascii="宋体" w:eastAsia="宋体"/>
        </w:rPr>
        <w:t>12</w:t>
      </w:r>
      <w:r>
        <w:rPr>
          <w:rFonts w:ascii="宋体" w:eastAsia="宋体"/>
        </w:rPr>
        <w:t>所示，</w:t>
      </w:r>
      <w:r>
        <w:rPr>
          <w:rFonts w:hint="eastAsia" w:ascii="宋体" w:eastAsia="宋体"/>
        </w:rPr>
        <w:t>将端子固定在不导电的工作面上，沿端子中心线对插端子，并保证有效插入深度大于</w:t>
      </w:r>
      <w:r>
        <w:rPr>
          <w:rFonts w:ascii="宋体" w:eastAsia="宋体"/>
        </w:rPr>
        <w:t>1</w:t>
      </w:r>
      <w:r>
        <w:rPr>
          <w:rFonts w:hint="eastAsia" w:ascii="宋体" w:eastAsia="宋体"/>
        </w:rPr>
        <w:t>mm，测量电流</w:t>
      </w:r>
      <w:r>
        <w:rPr>
          <w:rFonts w:ascii="宋体" w:eastAsia="宋体"/>
        </w:rPr>
        <w:t>100</w:t>
      </w:r>
      <w:r>
        <w:rPr>
          <w:rFonts w:hint="eastAsia" w:ascii="宋体" w:eastAsia="宋体"/>
        </w:rPr>
        <w:t>m</w:t>
      </w:r>
      <w:r>
        <w:rPr>
          <w:rFonts w:ascii="宋体" w:eastAsia="宋体"/>
        </w:rPr>
        <w:t>A,电压20m</w:t>
      </w:r>
      <w:r>
        <w:rPr>
          <w:rFonts w:hint="eastAsia" w:ascii="宋体" w:eastAsia="宋体"/>
        </w:rPr>
        <w:t>V</w:t>
      </w:r>
      <w:r>
        <w:rPr>
          <w:rFonts w:ascii="宋体" w:eastAsia="宋体"/>
        </w:rPr>
        <w:t>，可试验一对以上的端子，记录试验电流。</w:t>
      </w:r>
      <w:r>
        <w:rPr>
          <w:rFonts w:hint="eastAsia" w:ascii="宋体" w:eastAsia="宋体"/>
        </w:rPr>
        <w:t>测量并记录长度</w:t>
      </w:r>
      <w:r>
        <w:rPr>
          <w:rFonts w:ascii="宋体" w:eastAsia="宋体"/>
        </w:rPr>
        <w:t>150mm导线的电压降，对于板端连接器，测量并记录长度为75mm导线的电压降</w:t>
      </w:r>
      <w:r>
        <w:rPr>
          <w:rFonts w:hint="eastAsia" w:ascii="宋体" w:eastAsia="宋体"/>
        </w:rPr>
        <w:t>。对导线测量点进行焊锡，将检测导线连接至</w:t>
      </w:r>
      <w:r>
        <w:rPr>
          <w:rFonts w:ascii="宋体" w:eastAsia="宋体"/>
        </w:rPr>
        <w:t>T1\T2</w:t>
      </w:r>
      <w:r>
        <w:rPr>
          <w:rFonts w:hint="eastAsia" w:ascii="宋体" w:eastAsia="宋体"/>
        </w:rPr>
        <w:t>。测试至少等待30min，使试验电流稳定在该数值。测量并记录T1和T2之间的电压降。端子电压降=(T1~T2的电压降)-(导线的电压降)。连接电阻=端子电压降/试验电流。</w:t>
      </w:r>
    </w:p>
    <w:p>
      <w:pPr>
        <w:pStyle w:val="184"/>
        <w:numPr>
          <w:ilvl w:val="0"/>
          <w:numId w:val="0"/>
        </w:numPr>
        <w:jc w:val="center"/>
        <w:rPr>
          <w:rFonts w:hAnsi="Arial"/>
          <w:color w:val="FF0000"/>
        </w:rPr>
      </w:pPr>
      <w:r>
        <w:rPr>
          <w:rFonts w:hAnsi="Arial"/>
          <w:color w:val="FF0000"/>
        </w:rPr>
        <w:drawing>
          <wp:inline distT="0" distB="0" distL="0" distR="0">
            <wp:extent cx="5097780" cy="3651250"/>
            <wp:effectExtent l="0" t="0" r="7620" b="6350"/>
            <wp:docPr id="131947925"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47925" name="图片 1" descr="图示&#10;&#10;AI 生成的内容可能不正确。"/>
                    <pic:cNvPicPr>
                      <a:picLocks noChangeAspect="1"/>
                    </pic:cNvPicPr>
                  </pic:nvPicPr>
                  <pic:blipFill>
                    <a:blip r:embed="rId34"/>
                    <a:stretch>
                      <a:fillRect/>
                    </a:stretch>
                  </pic:blipFill>
                  <pic:spPr>
                    <a:xfrm>
                      <a:off x="0" y="0"/>
                      <a:ext cx="5100223" cy="3653142"/>
                    </a:xfrm>
                    <a:prstGeom prst="rect">
                      <a:avLst/>
                    </a:prstGeom>
                  </pic:spPr>
                </pic:pic>
              </a:graphicData>
            </a:graphic>
          </wp:inline>
        </w:drawing>
      </w:r>
    </w:p>
    <w:p>
      <w:pPr>
        <w:pStyle w:val="136"/>
        <w:jc w:val="center"/>
      </w:pPr>
      <w:bookmarkStart w:id="179" w:name="_Toc196816853"/>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12</w:t>
      </w:r>
      <w:r>
        <w:fldChar w:fldCharType="end"/>
      </w:r>
      <w:r>
        <w:rPr>
          <w:rFonts w:hint="eastAsia"/>
        </w:rPr>
        <w:t>接触电阻试验图</w:t>
      </w:r>
      <w:bookmarkEnd w:id="179"/>
    </w:p>
    <w:p>
      <w:pPr>
        <w:pStyle w:val="184"/>
        <w:numPr>
          <w:ilvl w:val="0"/>
          <w:numId w:val="0"/>
        </w:numPr>
        <w:rPr>
          <w:rFonts w:hAnsi="Arial"/>
          <w:color w:val="FF0000"/>
        </w:rPr>
      </w:pPr>
    </w:p>
    <w:p>
      <w:pPr>
        <w:pStyle w:val="127"/>
        <w:spacing w:before="156" w:after="156"/>
      </w:pPr>
      <w:bookmarkStart w:id="180" w:name="_Toc197519419"/>
      <w:bookmarkStart w:id="181" w:name="_Toc323740728"/>
      <w:bookmarkStart w:id="182" w:name="_Toc323892739"/>
      <w:bookmarkStart w:id="183" w:name="_Toc323740664"/>
      <w:bookmarkStart w:id="184" w:name="_Toc323892884"/>
      <w:bookmarkStart w:id="185" w:name="_Toc323893010"/>
      <w:bookmarkStart w:id="186" w:name="_Toc323893887"/>
      <w:r>
        <w:t>防水试验</w:t>
      </w:r>
      <w:bookmarkEnd w:id="180"/>
      <w:bookmarkEnd w:id="181"/>
      <w:bookmarkEnd w:id="182"/>
      <w:bookmarkEnd w:id="183"/>
      <w:bookmarkEnd w:id="184"/>
      <w:bookmarkEnd w:id="185"/>
      <w:bookmarkEnd w:id="186"/>
    </w:p>
    <w:p>
      <w:pPr>
        <w:pStyle w:val="80"/>
        <w:ind w:firstLine="420"/>
        <w:rPr>
          <w:rFonts w:hAnsi="Arial"/>
        </w:rPr>
      </w:pPr>
      <w:r>
        <w:t>用图</w:t>
      </w:r>
      <w:r>
        <w:rPr>
          <w:rFonts w:hint="eastAsia" w:hAnsi="Arial"/>
        </w:rPr>
        <w:t>12</w:t>
      </w:r>
      <w:r>
        <w:t>所示装置进行接点防水试验。将经过防水处理的接点浸泡在不低于</w:t>
      </w:r>
      <w:r>
        <w:rPr>
          <w:rFonts w:hAnsi="Arial"/>
        </w:rPr>
        <w:t>100mm</w:t>
      </w:r>
      <w:r>
        <w:t>深的</w:t>
      </w:r>
      <w:r>
        <w:rPr>
          <w:rFonts w:hAnsi="Arial"/>
        </w:rPr>
        <w:t>5%</w:t>
      </w:r>
      <w:r>
        <w:t>氯化钠水溶液中</w:t>
      </w:r>
      <w:r>
        <w:rPr>
          <w:rFonts w:hAnsi="Arial"/>
        </w:rPr>
        <w:t>1h</w:t>
      </w:r>
      <w:r>
        <w:t>后，用直流电压</w:t>
      </w:r>
      <w:r>
        <w:rPr>
          <w:rFonts w:hAnsi="Arial"/>
        </w:rPr>
        <w:t>100V±10V</w:t>
      </w:r>
      <w:r>
        <w:t>，量程</w:t>
      </w:r>
      <w:r>
        <w:rPr>
          <w:rFonts w:hAnsi="Arial"/>
        </w:rPr>
        <w:t>0MΩ</w:t>
      </w:r>
      <w:r>
        <w:t>～</w:t>
      </w:r>
      <w:r>
        <w:rPr>
          <w:rFonts w:hAnsi="Arial"/>
        </w:rPr>
        <w:t>200MΩ</w:t>
      </w:r>
      <w:r>
        <w:rPr>
          <w:rFonts w:hint="eastAsia" w:hAnsi="Arial"/>
        </w:rPr>
        <w:t>（</w:t>
      </w:r>
      <w:r>
        <w:t>示值误差为</w:t>
      </w:r>
      <w:r>
        <w:rPr>
          <w:rFonts w:hAnsi="Arial"/>
        </w:rPr>
        <w:t>±3 %</w:t>
      </w:r>
      <w:r>
        <w:rPr>
          <w:rFonts w:hint="eastAsia" w:hAnsi="Arial"/>
        </w:rPr>
        <w:t>）</w:t>
      </w:r>
      <w:r>
        <w:t>的绝缘电阻测试装置或精度为</w:t>
      </w:r>
      <w:r>
        <w:rPr>
          <w:rFonts w:hAnsi="Arial"/>
        </w:rPr>
        <w:t>1.5</w:t>
      </w:r>
      <w:r>
        <w:t>级的兆欧表测量绝缘电阻。</w:t>
      </w:r>
    </w:p>
    <w:p>
      <w:pPr>
        <w:pStyle w:val="40"/>
        <w:ind w:firstLine="0" w:firstLineChars="0"/>
        <w:jc w:val="center"/>
      </w:pPr>
      <w:r>
        <w:rPr>
          <w:rFonts w:ascii="Arial" w:hAnsi="Arial" w:cs="Arial"/>
          <w:sz w:val="18"/>
          <w:szCs w:val="18"/>
          <w:lang w:val="zh-CN"/>
        </w:rPr>
        <w:object>
          <v:shape id="_x0000_i1030" o:spt="75" type="#_x0000_t75" style="height:146.25pt;width:291.75pt;" o:ole="t" filled="f" o:preferrelative="t" stroked="f" coordsize="21600,21600">
            <v:path/>
            <v:fill on="f" focussize="0,0"/>
            <v:stroke on="f" joinstyle="miter"/>
            <v:imagedata r:id="rId36" o:title=""/>
            <o:lock v:ext="edit" aspectratio="t"/>
            <w10:wrap type="none"/>
            <w10:anchorlock/>
          </v:shape>
          <o:OLEObject Type="Embed" ProgID="Picture.PicObj.1" ShapeID="_x0000_i1030" DrawAspect="Content" ObjectID="_1468075730" r:id="rId35">
            <o:LockedField>false</o:LockedField>
          </o:OLEObject>
        </w:object>
      </w:r>
    </w:p>
    <w:p>
      <w:pPr>
        <w:pStyle w:val="40"/>
        <w:ind w:firstLine="0" w:firstLineChars="0"/>
        <w:jc w:val="center"/>
        <w:rPr>
          <w:rFonts w:ascii="Arial" w:hAnsi="Arial" w:cs="Arial"/>
          <w:sz w:val="20"/>
          <w:szCs w:val="18"/>
        </w:rPr>
      </w:pPr>
      <w:r>
        <w:rPr>
          <w:rFonts w:ascii="Arial" w:hAnsi="Arial" w:cs="Arial"/>
          <w:sz w:val="20"/>
          <w:szCs w:val="18"/>
        </w:rPr>
        <w:t>1—</w:t>
      </w:r>
      <w:r>
        <w:rPr>
          <w:rFonts w:ascii="Arial" w:hAnsi="ˎ̥" w:cs="Arial"/>
          <w:sz w:val="20"/>
          <w:szCs w:val="18"/>
        </w:rPr>
        <w:t>绝缘电阻测试装置或兆欧表；</w:t>
      </w:r>
      <w:r>
        <w:rPr>
          <w:rFonts w:ascii="Arial" w:hAnsi="Arial" w:cs="Arial"/>
          <w:sz w:val="20"/>
          <w:szCs w:val="18"/>
        </w:rPr>
        <w:t>2—</w:t>
      </w:r>
      <w:r>
        <w:rPr>
          <w:rFonts w:ascii="Arial" w:hAnsi="ˎ̥" w:cs="Arial"/>
          <w:sz w:val="20"/>
          <w:szCs w:val="18"/>
        </w:rPr>
        <w:t>经防水处理后的接点；</w:t>
      </w:r>
      <w:r>
        <w:rPr>
          <w:rFonts w:ascii="Arial" w:hAnsi="Arial" w:cs="Arial"/>
          <w:sz w:val="20"/>
          <w:szCs w:val="18"/>
        </w:rPr>
        <w:t>3—</w:t>
      </w:r>
      <w:r>
        <w:rPr>
          <w:rFonts w:ascii="Arial" w:hAnsi="ˎ̥" w:cs="Arial"/>
          <w:sz w:val="20"/>
          <w:szCs w:val="18"/>
        </w:rPr>
        <w:t>电极；</w:t>
      </w:r>
      <w:r>
        <w:rPr>
          <w:rFonts w:ascii="Arial" w:hAnsi="Arial" w:cs="Arial"/>
          <w:sz w:val="20"/>
          <w:szCs w:val="18"/>
        </w:rPr>
        <w:t>4—</w:t>
      </w:r>
      <w:r>
        <w:rPr>
          <w:rFonts w:ascii="Arial" w:hAnsi="ˎ̥" w:cs="Arial"/>
          <w:sz w:val="20"/>
          <w:szCs w:val="18"/>
        </w:rPr>
        <w:t>玻璃容器；</w:t>
      </w:r>
      <w:r>
        <w:rPr>
          <w:rFonts w:ascii="Arial" w:hAnsi="Arial" w:cs="Arial"/>
          <w:sz w:val="20"/>
          <w:szCs w:val="18"/>
        </w:rPr>
        <w:t>5—</w:t>
      </w:r>
      <w:r>
        <w:rPr>
          <w:rFonts w:ascii="Arial" w:hAnsi="ˎ̥" w:cs="Arial"/>
          <w:sz w:val="20"/>
          <w:szCs w:val="18"/>
        </w:rPr>
        <w:t>水溶液</w:t>
      </w:r>
    </w:p>
    <w:p>
      <w:pPr>
        <w:pStyle w:val="136"/>
        <w:jc w:val="center"/>
      </w:pPr>
      <w:bookmarkStart w:id="187" w:name="_Toc196816854"/>
      <w:r>
        <w:rPr>
          <w:rFonts w:hint="eastAsia"/>
        </w:rPr>
        <w:t>图</w:t>
      </w:r>
      <w:r>
        <w:fldChar w:fldCharType="begin"/>
      </w:r>
      <w:r>
        <w:instrText xml:space="preserve"> </w:instrText>
      </w:r>
      <w:r>
        <w:rPr>
          <w:rFonts w:hint="eastAsia"/>
        </w:rPr>
        <w:instrText xml:space="preserve">SEQ 图 \* ARABIC</w:instrText>
      </w:r>
      <w:r>
        <w:instrText xml:space="preserve"> </w:instrText>
      </w:r>
      <w:r>
        <w:fldChar w:fldCharType="separate"/>
      </w:r>
      <w:r>
        <w:t>13</w:t>
      </w:r>
      <w:r>
        <w:fldChar w:fldCharType="end"/>
      </w:r>
      <w:r>
        <w:rPr>
          <w:rFonts w:hint="eastAsia"/>
        </w:rPr>
        <w:t>接点防水试验示意图</w:t>
      </w:r>
      <w:bookmarkEnd w:id="187"/>
    </w:p>
    <w:p>
      <w:pPr>
        <w:pStyle w:val="80"/>
        <w:ind w:firstLine="420"/>
      </w:pPr>
    </w:p>
    <w:p>
      <w:pPr>
        <w:pStyle w:val="127"/>
        <w:spacing w:before="156" w:after="156"/>
      </w:pPr>
      <w:bookmarkStart w:id="188" w:name="_Toc323893888"/>
      <w:bookmarkStart w:id="189" w:name="_Toc323740665"/>
      <w:bookmarkStart w:id="190" w:name="_Toc323892740"/>
      <w:bookmarkStart w:id="191" w:name="_Toc323892885"/>
      <w:bookmarkStart w:id="192" w:name="_Toc323740729"/>
      <w:bookmarkStart w:id="193" w:name="_Toc197519420"/>
      <w:bookmarkStart w:id="194" w:name="_Toc323893011"/>
      <w:r>
        <w:t>线路检验</w:t>
      </w:r>
      <w:bookmarkEnd w:id="188"/>
      <w:bookmarkEnd w:id="189"/>
      <w:bookmarkEnd w:id="190"/>
      <w:bookmarkEnd w:id="191"/>
      <w:bookmarkEnd w:id="192"/>
      <w:bookmarkEnd w:id="193"/>
      <w:bookmarkEnd w:id="194"/>
    </w:p>
    <w:p>
      <w:pPr>
        <w:pStyle w:val="80"/>
        <w:ind w:firstLine="420"/>
      </w:pPr>
    </w:p>
    <w:p>
      <w:pPr>
        <w:pStyle w:val="40"/>
        <w:rPr>
          <w:rFonts w:hint="eastAsia" w:ascii="Arial" w:hAnsi="宋体" w:cs="Arial"/>
          <w:szCs w:val="21"/>
        </w:rPr>
      </w:pPr>
      <w:r>
        <w:rPr>
          <w:rFonts w:ascii="Arial" w:hAnsi="宋体" w:cs="Arial"/>
          <w:szCs w:val="21"/>
        </w:rPr>
        <w:t>线路导通、短路、错路、断路的检验，在专用导通电检台装置上进行。</w:t>
      </w:r>
    </w:p>
    <w:p>
      <w:pPr>
        <w:pStyle w:val="40"/>
        <w:rPr>
          <w:rFonts w:hint="eastAsia" w:ascii="Arial" w:hAnsi="宋体" w:cs="Arial"/>
          <w:szCs w:val="21"/>
        </w:rPr>
      </w:pPr>
    </w:p>
    <w:p>
      <w:pPr>
        <w:pStyle w:val="127"/>
        <w:spacing w:before="156" w:after="156"/>
      </w:pPr>
      <w:bookmarkStart w:id="195" w:name="_Toc323893012"/>
      <w:bookmarkStart w:id="196" w:name="_Toc323892741"/>
      <w:bookmarkStart w:id="197" w:name="_Toc197519421"/>
      <w:bookmarkStart w:id="198" w:name="_Toc323893889"/>
      <w:bookmarkStart w:id="199" w:name="_Toc323740666"/>
      <w:bookmarkStart w:id="200" w:name="_Toc323740730"/>
      <w:bookmarkStart w:id="201" w:name="_Toc323892886"/>
      <w:r>
        <w:t>耐低温试验</w:t>
      </w:r>
      <w:bookmarkEnd w:id="195"/>
      <w:bookmarkEnd w:id="196"/>
      <w:bookmarkEnd w:id="197"/>
      <w:bookmarkEnd w:id="198"/>
      <w:bookmarkEnd w:id="199"/>
      <w:bookmarkEnd w:id="200"/>
      <w:bookmarkEnd w:id="201"/>
    </w:p>
    <w:p>
      <w:pPr>
        <w:pStyle w:val="80"/>
        <w:ind w:firstLine="420"/>
      </w:pPr>
    </w:p>
    <w:p>
      <w:pPr>
        <w:pStyle w:val="40"/>
        <w:rPr>
          <w:rFonts w:hint="eastAsia" w:ascii="Arial" w:hAnsi="宋体" w:cs="Arial"/>
          <w:szCs w:val="21"/>
        </w:rPr>
      </w:pPr>
      <w:r>
        <w:rPr>
          <w:rFonts w:ascii="Arial" w:hAnsi="宋体" w:cs="Arial"/>
          <w:szCs w:val="21"/>
        </w:rPr>
        <w:t>电线束耐低温试验：将试样放在表</w:t>
      </w:r>
      <w:r>
        <w:rPr>
          <w:rFonts w:ascii="Arial" w:hAnsi="Arial" w:cs="Arial"/>
          <w:szCs w:val="21"/>
        </w:rPr>
        <w:t>5</w:t>
      </w:r>
      <w:r>
        <w:rPr>
          <w:rFonts w:ascii="Arial" w:hAnsi="宋体" w:cs="Arial"/>
          <w:szCs w:val="21"/>
        </w:rPr>
        <w:t>中下限贮存温度值的低温箱内，温度偏差为</w:t>
      </w:r>
      <w:r>
        <w:rPr>
          <w:rFonts w:ascii="Arial" w:hAnsi="Arial" w:cs="Arial"/>
          <w:szCs w:val="21"/>
        </w:rPr>
        <w:t xml:space="preserve">±2 </w:t>
      </w:r>
      <w:r>
        <w:rPr>
          <w:rFonts w:ascii="Arial" w:hAnsi="宋体" w:cs="Arial"/>
          <w:szCs w:val="21"/>
        </w:rPr>
        <w:t>℃，时间为</w:t>
      </w:r>
      <w:r>
        <w:rPr>
          <w:rFonts w:ascii="Arial" w:hAnsi="Arial" w:cs="Arial"/>
          <w:szCs w:val="21"/>
        </w:rPr>
        <w:t>8h</w:t>
      </w:r>
      <w:r>
        <w:rPr>
          <w:rFonts w:ascii="Arial" w:hAnsi="宋体" w:cs="Arial"/>
          <w:szCs w:val="21"/>
        </w:rPr>
        <w:t>，再在常温下放置</w:t>
      </w:r>
      <w:r>
        <w:rPr>
          <w:rFonts w:ascii="Arial" w:hAnsi="Arial" w:cs="Arial"/>
          <w:szCs w:val="21"/>
        </w:rPr>
        <w:t>24h</w:t>
      </w:r>
      <w:r>
        <w:rPr>
          <w:rFonts w:ascii="Arial" w:hAnsi="宋体" w:cs="Arial"/>
          <w:szCs w:val="21"/>
        </w:rPr>
        <w:t>后，检验电线束应符合</w:t>
      </w:r>
      <w:r>
        <w:rPr>
          <w:rFonts w:ascii="Arial" w:hAnsi="Arial" w:cs="Arial"/>
          <w:szCs w:val="21"/>
        </w:rPr>
        <w:t>4.11.1</w:t>
      </w:r>
      <w:r>
        <w:rPr>
          <w:rFonts w:ascii="Arial" w:hAnsi="宋体" w:cs="Arial"/>
          <w:szCs w:val="21"/>
        </w:rPr>
        <w:t>的规定。</w:t>
      </w:r>
    </w:p>
    <w:p>
      <w:pPr>
        <w:pStyle w:val="40"/>
        <w:rPr>
          <w:rFonts w:ascii="Arial" w:hAnsi="Arial" w:cs="Arial"/>
          <w:szCs w:val="21"/>
        </w:rPr>
      </w:pPr>
    </w:p>
    <w:p>
      <w:pPr>
        <w:pStyle w:val="127"/>
        <w:spacing w:before="156" w:after="156"/>
      </w:pPr>
      <w:bookmarkStart w:id="202" w:name="_Toc197519422"/>
      <w:bookmarkStart w:id="203" w:name="_Toc323740731"/>
      <w:bookmarkStart w:id="204" w:name="_Toc323893890"/>
      <w:bookmarkStart w:id="205" w:name="_Toc323893013"/>
      <w:bookmarkStart w:id="206" w:name="_Toc323740667"/>
      <w:bookmarkStart w:id="207" w:name="_Toc323892887"/>
      <w:bookmarkStart w:id="208" w:name="_Toc323892742"/>
      <w:r>
        <w:t>耐高温试验</w:t>
      </w:r>
      <w:bookmarkEnd w:id="202"/>
      <w:bookmarkEnd w:id="203"/>
      <w:bookmarkEnd w:id="204"/>
      <w:bookmarkEnd w:id="205"/>
      <w:bookmarkEnd w:id="206"/>
      <w:bookmarkEnd w:id="207"/>
      <w:bookmarkEnd w:id="208"/>
    </w:p>
    <w:p>
      <w:pPr>
        <w:pStyle w:val="80"/>
        <w:ind w:firstLine="420"/>
      </w:pPr>
    </w:p>
    <w:p>
      <w:pPr>
        <w:pStyle w:val="40"/>
        <w:rPr>
          <w:rFonts w:hint="eastAsia" w:ascii="Arial" w:hAnsi="宋体" w:cs="Arial"/>
          <w:szCs w:val="21"/>
        </w:rPr>
      </w:pPr>
      <w:r>
        <w:rPr>
          <w:rFonts w:ascii="Arial" w:hAnsi="宋体" w:cs="Arial"/>
          <w:szCs w:val="21"/>
        </w:rPr>
        <w:t>电线束耐高温试验：将试样放在表</w:t>
      </w:r>
      <w:r>
        <w:rPr>
          <w:rFonts w:ascii="Arial" w:hAnsi="Arial" w:cs="Arial"/>
          <w:szCs w:val="21"/>
        </w:rPr>
        <w:t>5</w:t>
      </w:r>
      <w:r>
        <w:rPr>
          <w:rFonts w:ascii="Arial" w:hAnsi="宋体" w:cs="Arial"/>
          <w:szCs w:val="21"/>
        </w:rPr>
        <w:t>中安装位置所对应的上限贮存温度值的高温箱内，温度偏差为</w:t>
      </w:r>
      <w:r>
        <w:rPr>
          <w:rFonts w:ascii="Arial" w:hAnsi="Arial" w:cs="Arial"/>
          <w:szCs w:val="21"/>
        </w:rPr>
        <w:t xml:space="preserve">±2 </w:t>
      </w:r>
      <w:r>
        <w:rPr>
          <w:rFonts w:ascii="Arial" w:hAnsi="宋体" w:cs="Arial"/>
          <w:szCs w:val="21"/>
        </w:rPr>
        <w:t>℃，时间为</w:t>
      </w:r>
      <w:r>
        <w:rPr>
          <w:rFonts w:ascii="Arial" w:hAnsi="Arial" w:cs="Arial"/>
          <w:szCs w:val="21"/>
        </w:rPr>
        <w:t>8h</w:t>
      </w:r>
      <w:r>
        <w:rPr>
          <w:rFonts w:ascii="Arial" w:hAnsi="宋体" w:cs="Arial"/>
          <w:szCs w:val="21"/>
        </w:rPr>
        <w:t>，再在常温下放置</w:t>
      </w:r>
      <w:r>
        <w:rPr>
          <w:rFonts w:ascii="Arial" w:hAnsi="Arial" w:cs="Arial"/>
          <w:szCs w:val="21"/>
        </w:rPr>
        <w:t>24h</w:t>
      </w:r>
      <w:r>
        <w:rPr>
          <w:rFonts w:ascii="Arial" w:hAnsi="宋体" w:cs="Arial"/>
          <w:szCs w:val="21"/>
        </w:rPr>
        <w:t>后，检验电线束应符合</w:t>
      </w:r>
      <w:r>
        <w:rPr>
          <w:rFonts w:ascii="Arial" w:hAnsi="Arial" w:cs="Arial"/>
          <w:szCs w:val="21"/>
        </w:rPr>
        <w:t>4.11.2</w:t>
      </w:r>
      <w:r>
        <w:rPr>
          <w:rFonts w:ascii="Arial" w:hAnsi="宋体" w:cs="Arial"/>
          <w:szCs w:val="21"/>
        </w:rPr>
        <w:t>的规定。</w:t>
      </w:r>
    </w:p>
    <w:p>
      <w:pPr>
        <w:pStyle w:val="40"/>
        <w:rPr>
          <w:rFonts w:ascii="Arial" w:hAnsi="Arial" w:cs="Arial"/>
          <w:szCs w:val="21"/>
        </w:rPr>
      </w:pPr>
    </w:p>
    <w:p>
      <w:pPr>
        <w:pStyle w:val="127"/>
        <w:spacing w:before="156" w:after="156"/>
      </w:pPr>
      <w:bookmarkStart w:id="209" w:name="_Toc323893891"/>
      <w:bookmarkStart w:id="210" w:name="_Toc323892888"/>
      <w:bookmarkStart w:id="211" w:name="_Toc323740732"/>
      <w:bookmarkStart w:id="212" w:name="_Toc323892743"/>
      <w:bookmarkStart w:id="213" w:name="_Toc323893014"/>
      <w:bookmarkStart w:id="214" w:name="_Toc323740668"/>
      <w:bookmarkStart w:id="215" w:name="_Toc197519423"/>
      <w:r>
        <w:t>耐温度变化试验</w:t>
      </w:r>
      <w:bookmarkEnd w:id="209"/>
      <w:bookmarkEnd w:id="210"/>
      <w:bookmarkEnd w:id="211"/>
      <w:bookmarkEnd w:id="212"/>
      <w:bookmarkEnd w:id="213"/>
      <w:bookmarkEnd w:id="214"/>
      <w:bookmarkEnd w:id="215"/>
    </w:p>
    <w:p>
      <w:pPr>
        <w:pStyle w:val="80"/>
        <w:ind w:firstLine="420"/>
      </w:pPr>
    </w:p>
    <w:p>
      <w:pPr>
        <w:pStyle w:val="40"/>
        <w:rPr>
          <w:rFonts w:hint="eastAsia" w:ascii="Arial" w:hAnsi="宋体" w:cs="Arial"/>
          <w:szCs w:val="21"/>
        </w:rPr>
      </w:pPr>
      <w:r>
        <w:rPr>
          <w:rFonts w:ascii="Arial" w:hAnsi="宋体" w:cs="Arial"/>
          <w:szCs w:val="21"/>
        </w:rPr>
        <w:t>电线束耐温度变化试验，根据试样的安装位置将表</w:t>
      </w:r>
      <w:r>
        <w:rPr>
          <w:rFonts w:ascii="Arial" w:hAnsi="Arial" w:cs="Arial"/>
          <w:szCs w:val="21"/>
        </w:rPr>
        <w:t>5</w:t>
      </w:r>
      <w:r>
        <w:rPr>
          <w:rFonts w:ascii="Arial" w:hAnsi="宋体" w:cs="Arial"/>
          <w:szCs w:val="21"/>
        </w:rPr>
        <w:t>中下限工作温度值和上限工作温度值作为试验温度，在每一种温度中的暴露时间为</w:t>
      </w:r>
      <w:r>
        <w:rPr>
          <w:rFonts w:ascii="Arial" w:hAnsi="Arial" w:cs="Arial"/>
          <w:szCs w:val="21"/>
        </w:rPr>
        <w:t>2h</w:t>
      </w:r>
      <w:r>
        <w:rPr>
          <w:rFonts w:ascii="Arial" w:hAnsi="宋体" w:cs="Arial"/>
          <w:szCs w:val="21"/>
        </w:rPr>
        <w:t>，温度转换时间不大于</w:t>
      </w:r>
      <w:r>
        <w:rPr>
          <w:rFonts w:ascii="Arial" w:hAnsi="Arial" w:cs="Arial"/>
          <w:szCs w:val="21"/>
        </w:rPr>
        <w:t>12min</w:t>
      </w:r>
      <w:r>
        <w:rPr>
          <w:rFonts w:ascii="Arial" w:hAnsi="宋体" w:cs="Arial"/>
          <w:szCs w:val="21"/>
        </w:rPr>
        <w:t>，循环次数为</w:t>
      </w:r>
      <w:r>
        <w:rPr>
          <w:rFonts w:ascii="Arial" w:hAnsi="Arial" w:cs="Arial"/>
          <w:szCs w:val="21"/>
        </w:rPr>
        <w:t>5</w:t>
      </w:r>
      <w:r>
        <w:rPr>
          <w:rFonts w:ascii="Arial" w:hAnsi="宋体" w:cs="Arial"/>
          <w:szCs w:val="21"/>
        </w:rPr>
        <w:t>次</w:t>
      </w:r>
      <w:r>
        <w:rPr>
          <w:rFonts w:hint="eastAsia" w:ascii="Arial" w:hAnsi="宋体" w:cs="Arial"/>
          <w:szCs w:val="21"/>
        </w:rPr>
        <w:t>，</w:t>
      </w:r>
      <w:r>
        <w:rPr>
          <w:rFonts w:ascii="Arial" w:hAnsi="宋体" w:cs="Arial"/>
          <w:szCs w:val="21"/>
        </w:rPr>
        <w:t>再在常温下放置</w:t>
      </w:r>
      <w:r>
        <w:rPr>
          <w:rFonts w:ascii="Arial" w:hAnsi="Arial" w:cs="Arial"/>
          <w:szCs w:val="21"/>
        </w:rPr>
        <w:t>24h</w:t>
      </w:r>
      <w:r>
        <w:rPr>
          <w:rFonts w:ascii="Arial" w:hAnsi="宋体" w:cs="Arial"/>
          <w:szCs w:val="21"/>
        </w:rPr>
        <w:t>后，检验电线束应符合</w:t>
      </w:r>
      <w:r>
        <w:rPr>
          <w:rFonts w:ascii="Arial" w:hAnsi="Arial" w:cs="Arial"/>
          <w:szCs w:val="21"/>
        </w:rPr>
        <w:t>4.11.3</w:t>
      </w:r>
      <w:r>
        <w:rPr>
          <w:rFonts w:ascii="Arial" w:hAnsi="宋体" w:cs="Arial"/>
          <w:szCs w:val="21"/>
        </w:rPr>
        <w:t>的规定。</w:t>
      </w:r>
    </w:p>
    <w:p>
      <w:pPr>
        <w:pStyle w:val="40"/>
        <w:rPr>
          <w:rFonts w:ascii="Arial" w:hAnsi="Arial" w:cs="Arial"/>
          <w:szCs w:val="21"/>
        </w:rPr>
      </w:pPr>
    </w:p>
    <w:p>
      <w:pPr>
        <w:pStyle w:val="127"/>
        <w:spacing w:before="156" w:after="156"/>
      </w:pPr>
      <w:bookmarkStart w:id="216" w:name="_Toc323740669"/>
      <w:bookmarkStart w:id="217" w:name="_Toc323892889"/>
      <w:bookmarkStart w:id="218" w:name="_Toc323892744"/>
      <w:bookmarkStart w:id="219" w:name="_Toc323740733"/>
      <w:bookmarkStart w:id="220" w:name="_Toc323893892"/>
      <w:bookmarkStart w:id="221" w:name="_Toc323893015"/>
      <w:bookmarkStart w:id="222" w:name="_Toc197519424"/>
      <w:r>
        <w:t>耐温度、湿度循环变化试验</w:t>
      </w:r>
      <w:bookmarkEnd w:id="216"/>
      <w:bookmarkEnd w:id="217"/>
      <w:bookmarkEnd w:id="218"/>
      <w:bookmarkEnd w:id="219"/>
      <w:bookmarkEnd w:id="220"/>
      <w:bookmarkEnd w:id="221"/>
      <w:bookmarkEnd w:id="222"/>
    </w:p>
    <w:p>
      <w:pPr>
        <w:pStyle w:val="80"/>
        <w:ind w:firstLine="420"/>
      </w:pPr>
    </w:p>
    <w:p>
      <w:pPr>
        <w:pStyle w:val="40"/>
        <w:rPr>
          <w:rFonts w:hint="eastAsia" w:ascii="Arial" w:hAnsi="宋体" w:cs="Arial"/>
          <w:szCs w:val="21"/>
        </w:rPr>
      </w:pPr>
      <w:r>
        <w:rPr>
          <w:rFonts w:ascii="Arial" w:hAnsi="宋体" w:cs="Arial"/>
          <w:szCs w:val="21"/>
        </w:rPr>
        <w:t>电线束耐温度、湿度循环变化试验，按</w:t>
      </w:r>
      <w:r>
        <w:rPr>
          <w:rFonts w:ascii="Arial" w:hAnsi="Arial" w:cs="Arial"/>
          <w:szCs w:val="21"/>
        </w:rPr>
        <w:t>QC/T 41</w:t>
      </w:r>
      <w:r>
        <w:rPr>
          <w:rFonts w:ascii="Arial" w:hAnsi="Arial" w:cs="Arial"/>
          <w:color w:val="000000" w:themeColor="text1"/>
          <w:szCs w:val="21"/>
          <w14:textFill>
            <w14:solidFill>
              <w14:schemeClr w14:val="tx1"/>
            </w14:solidFill>
          </w14:textFill>
        </w:rPr>
        <w:t>3─2002</w:t>
      </w:r>
      <w:r>
        <w:rPr>
          <w:rFonts w:ascii="Arial" w:hAnsi="宋体" w:cs="Arial"/>
          <w:color w:val="000000" w:themeColor="text1"/>
          <w:szCs w:val="21"/>
          <w14:textFill>
            <w14:solidFill>
              <w14:schemeClr w14:val="tx1"/>
            </w14:solidFill>
          </w14:textFill>
        </w:rPr>
        <w:t>中</w:t>
      </w:r>
      <w:r>
        <w:rPr>
          <w:rFonts w:ascii="Arial" w:hAnsi="Arial" w:cs="Arial"/>
          <w:color w:val="000000" w:themeColor="text1"/>
          <w:szCs w:val="21"/>
          <w14:textFill>
            <w14:solidFill>
              <w14:schemeClr w14:val="tx1"/>
            </w14:solidFill>
          </w14:textFill>
        </w:rPr>
        <w:t>4.</w:t>
      </w:r>
      <w:r>
        <w:rPr>
          <w:rFonts w:ascii="Arial" w:hAnsi="Arial" w:cs="Arial"/>
          <w:szCs w:val="21"/>
        </w:rPr>
        <w:t>11</w:t>
      </w:r>
      <w:r>
        <w:rPr>
          <w:rFonts w:ascii="Arial" w:hAnsi="宋体" w:cs="Arial"/>
          <w:szCs w:val="21"/>
        </w:rPr>
        <w:t>规定的试验方法进行，再在常温下放置</w:t>
      </w:r>
      <w:r>
        <w:rPr>
          <w:rFonts w:ascii="Arial" w:hAnsi="Arial" w:cs="Arial"/>
          <w:szCs w:val="21"/>
        </w:rPr>
        <w:t>24h</w:t>
      </w:r>
      <w:r>
        <w:rPr>
          <w:rFonts w:ascii="Arial" w:hAnsi="宋体" w:cs="Arial"/>
          <w:szCs w:val="21"/>
        </w:rPr>
        <w:t>后检验电线束应符合</w:t>
      </w:r>
      <w:r>
        <w:rPr>
          <w:rFonts w:ascii="Arial" w:hAnsi="Arial" w:cs="Arial"/>
          <w:szCs w:val="21"/>
        </w:rPr>
        <w:t>4.12</w:t>
      </w:r>
      <w:r>
        <w:rPr>
          <w:rFonts w:ascii="Arial" w:hAnsi="宋体" w:cs="Arial"/>
          <w:szCs w:val="21"/>
        </w:rPr>
        <w:t>的规定。</w:t>
      </w:r>
    </w:p>
    <w:p>
      <w:pPr>
        <w:pStyle w:val="40"/>
        <w:rPr>
          <w:rFonts w:ascii="Arial" w:hAnsi="Arial" w:cs="Arial"/>
          <w:szCs w:val="21"/>
        </w:rPr>
      </w:pPr>
      <w:r>
        <w:rPr>
          <w:rFonts w:hint="eastAsia" w:ascii="Arial" w:hAnsi="Arial" w:cs="Arial"/>
          <w:szCs w:val="21"/>
        </w:rPr>
        <w:t>电线束应按图样及技术文件规定的下限工作温度</w:t>
      </w:r>
      <w:r>
        <w:rPr>
          <w:rFonts w:ascii="Arial" w:hAnsi="Arial" w:cs="Arial"/>
          <w:szCs w:val="21"/>
        </w:rPr>
        <w:t>Tmin和上限工作温度Tmax经分别进行耐低温、耐高温、耐温度变化性能试验，</w:t>
      </w:r>
      <w:r>
        <w:rPr>
          <w:rFonts w:hint="eastAsia" w:ascii="Arial" w:hAnsi="Arial" w:cs="Arial"/>
          <w:szCs w:val="21"/>
        </w:rPr>
        <w:t>按</w:t>
      </w:r>
      <w:r>
        <w:rPr>
          <w:rFonts w:ascii="Arial" w:hAnsi="Arial" w:cs="Arial"/>
          <w:szCs w:val="21"/>
        </w:rPr>
        <w:t>GB/T 28046.4,5.3.2试验进行，根据上限温度和下限温度作为试验温度，在每一种温度中暴露时间为2小时，在30秒或更短时间内将温度从Tmin=-40</w:t>
      </w:r>
      <w:r>
        <w:rPr>
          <w:rFonts w:hint="eastAsia" w:hAnsi="宋体" w:cs="宋体"/>
          <w:szCs w:val="21"/>
        </w:rPr>
        <w:t>℃</w:t>
      </w:r>
      <w:r>
        <w:rPr>
          <w:rFonts w:ascii="Arial" w:hAnsi="Arial" w:cs="Arial"/>
          <w:szCs w:val="21"/>
        </w:rPr>
        <w:t>提高至Tmax=1</w:t>
      </w:r>
      <w:r>
        <w:rPr>
          <w:rFonts w:hint="eastAsia" w:ascii="Arial" w:hAnsi="Arial" w:cs="Arial"/>
          <w:szCs w:val="21"/>
        </w:rPr>
        <w:t>35</w:t>
      </w:r>
      <w:r>
        <w:rPr>
          <w:rFonts w:hint="eastAsia" w:hAnsi="宋体" w:cs="宋体"/>
          <w:szCs w:val="21"/>
        </w:rPr>
        <w:t>℃</w:t>
      </w:r>
      <w:r>
        <w:rPr>
          <w:rFonts w:ascii="Arial" w:hAnsi="Arial" w:cs="Arial"/>
          <w:szCs w:val="21"/>
        </w:rPr>
        <w:t>，循环次数为五次。</w:t>
      </w:r>
    </w:p>
    <w:p>
      <w:pPr>
        <w:pStyle w:val="127"/>
        <w:spacing w:before="156" w:after="156"/>
      </w:pPr>
      <w:bookmarkStart w:id="223" w:name="_Toc323740670"/>
      <w:bookmarkStart w:id="224" w:name="_Toc323892890"/>
      <w:bookmarkStart w:id="225" w:name="_Toc197519425"/>
      <w:bookmarkStart w:id="226" w:name="_Toc323740734"/>
      <w:bookmarkStart w:id="227" w:name="_Toc323892745"/>
      <w:bookmarkStart w:id="228" w:name="_Toc323893893"/>
      <w:bookmarkStart w:id="229" w:name="_Toc323893016"/>
      <w:r>
        <w:t>耐振动试验</w:t>
      </w:r>
      <w:bookmarkEnd w:id="223"/>
      <w:bookmarkEnd w:id="224"/>
      <w:bookmarkEnd w:id="225"/>
      <w:bookmarkEnd w:id="226"/>
      <w:bookmarkEnd w:id="227"/>
      <w:bookmarkEnd w:id="228"/>
      <w:bookmarkEnd w:id="229"/>
    </w:p>
    <w:p>
      <w:pPr>
        <w:pStyle w:val="80"/>
        <w:ind w:firstLine="420"/>
      </w:pPr>
    </w:p>
    <w:p>
      <w:pPr>
        <w:pStyle w:val="40"/>
        <w:rPr>
          <w:rFonts w:hint="eastAsia" w:ascii="Arial" w:hAnsi="宋体" w:cs="Arial"/>
          <w:szCs w:val="21"/>
        </w:rPr>
      </w:pPr>
      <w:r>
        <w:rPr>
          <w:rFonts w:ascii="Arial" w:hAnsi="宋体" w:cs="Arial"/>
          <w:szCs w:val="21"/>
        </w:rPr>
        <w:t>电线束</w:t>
      </w:r>
      <w:r>
        <w:rPr>
          <w:rFonts w:hint="eastAsia" w:ascii="Arial" w:hAnsi="宋体" w:cs="Arial"/>
          <w:szCs w:val="21"/>
        </w:rPr>
        <w:t>（缸内线除外）</w:t>
      </w:r>
      <w:r>
        <w:rPr>
          <w:rFonts w:ascii="Arial" w:hAnsi="宋体" w:cs="Arial"/>
          <w:szCs w:val="21"/>
        </w:rPr>
        <w:t>耐振动试验，按</w:t>
      </w:r>
      <w:r>
        <w:rPr>
          <w:rFonts w:ascii="Arial" w:hAnsi="Arial" w:cs="Arial"/>
          <w:szCs w:val="21"/>
        </w:rPr>
        <w:t>Q</w:t>
      </w:r>
      <w:r>
        <w:rPr>
          <w:rFonts w:ascii="Arial" w:hAnsi="Arial" w:cs="Arial"/>
          <w:color w:val="000000" w:themeColor="text1"/>
          <w:szCs w:val="21"/>
          <w14:textFill>
            <w14:solidFill>
              <w14:schemeClr w14:val="tx1"/>
            </w14:solidFill>
          </w14:textFill>
        </w:rPr>
        <w:t>C/T 413─2002</w:t>
      </w:r>
      <w:r>
        <w:rPr>
          <w:rFonts w:ascii="Arial" w:hAnsi="宋体" w:cs="Arial"/>
          <w:color w:val="000000" w:themeColor="text1"/>
          <w:szCs w:val="21"/>
          <w14:textFill>
            <w14:solidFill>
              <w14:schemeClr w14:val="tx1"/>
            </w14:solidFill>
          </w14:textFill>
        </w:rPr>
        <w:t>中</w:t>
      </w:r>
      <w:r>
        <w:rPr>
          <w:rFonts w:ascii="Arial" w:hAnsi="Arial" w:cs="Arial"/>
          <w:szCs w:val="21"/>
        </w:rPr>
        <w:t>4.12</w:t>
      </w:r>
      <w:r>
        <w:rPr>
          <w:rFonts w:ascii="Arial" w:hAnsi="宋体" w:cs="Arial"/>
          <w:szCs w:val="21"/>
        </w:rPr>
        <w:t>规定的试验方法进行，试验后检验电线束应符合</w:t>
      </w:r>
      <w:r>
        <w:rPr>
          <w:rFonts w:ascii="Arial" w:hAnsi="Arial" w:cs="Arial"/>
          <w:szCs w:val="21"/>
        </w:rPr>
        <w:t>4.13</w:t>
      </w:r>
      <w:r>
        <w:rPr>
          <w:rFonts w:ascii="Arial" w:hAnsi="宋体" w:cs="Arial"/>
          <w:szCs w:val="21"/>
        </w:rPr>
        <w:t>的规定。</w:t>
      </w:r>
    </w:p>
    <w:p>
      <w:pPr>
        <w:pStyle w:val="40"/>
        <w:rPr>
          <w:rFonts w:ascii="Arial" w:hAnsi="Arial" w:cs="Arial"/>
          <w:szCs w:val="21"/>
        </w:rPr>
      </w:pPr>
      <w:r>
        <w:rPr>
          <w:rFonts w:hint="eastAsia" w:ascii="Arial" w:hAnsi="Arial" w:cs="Arial"/>
          <w:szCs w:val="21"/>
        </w:rPr>
        <w:t>缸内线按</w:t>
      </w:r>
      <w:r>
        <w:rPr>
          <w:rFonts w:ascii="Arial" w:hAnsi="Arial" w:cs="Arial"/>
          <w:szCs w:val="21"/>
        </w:rPr>
        <w:t>GB/T 28046.</w:t>
      </w:r>
      <w:r>
        <w:rPr>
          <w:rFonts w:hint="eastAsia" w:ascii="Arial" w:hAnsi="Arial" w:cs="Arial"/>
          <w:szCs w:val="21"/>
        </w:rPr>
        <w:t>3</w:t>
      </w:r>
      <w:r>
        <w:rPr>
          <w:rFonts w:hint="eastAsia" w:ascii="Arial" w:hAnsi="Arial" w:cs="Arial"/>
        </w:rPr>
        <w:t>试验</w:t>
      </w:r>
      <w:r>
        <w:rPr>
          <w:rFonts w:ascii="Arial" w:hAnsi="Arial" w:cs="Arial"/>
        </w:rPr>
        <w:t>VI</w:t>
      </w:r>
      <w:r>
        <w:rPr>
          <w:rFonts w:ascii="Arial" w:hAnsi="Arial" w:cs="Arial"/>
          <w:szCs w:val="21"/>
        </w:rPr>
        <w:t>进行试验，试验后线束支架不得出现破损，导线导通无异常。</w:t>
      </w:r>
    </w:p>
    <w:p>
      <w:pPr>
        <w:pStyle w:val="127"/>
        <w:spacing w:before="156" w:after="156"/>
      </w:pPr>
      <w:bookmarkStart w:id="230" w:name="_Toc323740671"/>
      <w:bookmarkStart w:id="231" w:name="_Toc323892746"/>
      <w:bookmarkStart w:id="232" w:name="_Toc197519426"/>
      <w:bookmarkStart w:id="233" w:name="_Toc323893017"/>
      <w:bookmarkStart w:id="234" w:name="_Toc323740735"/>
      <w:bookmarkStart w:id="235" w:name="_Toc323892891"/>
      <w:bookmarkStart w:id="236" w:name="_Toc323893894"/>
      <w:r>
        <w:t>耐盐雾试验</w:t>
      </w:r>
      <w:bookmarkEnd w:id="230"/>
      <w:bookmarkEnd w:id="231"/>
      <w:bookmarkEnd w:id="232"/>
      <w:bookmarkEnd w:id="233"/>
      <w:bookmarkEnd w:id="234"/>
      <w:bookmarkEnd w:id="235"/>
      <w:bookmarkEnd w:id="236"/>
    </w:p>
    <w:p>
      <w:pPr>
        <w:pStyle w:val="80"/>
        <w:ind w:firstLine="420"/>
      </w:pPr>
    </w:p>
    <w:p>
      <w:pPr>
        <w:pStyle w:val="40"/>
        <w:rPr>
          <w:rFonts w:hint="eastAsia" w:ascii="Arial" w:hAnsi="宋体" w:cs="Arial"/>
          <w:szCs w:val="21"/>
        </w:rPr>
      </w:pPr>
      <w:r>
        <w:rPr>
          <w:rFonts w:ascii="Arial" w:hAnsi="宋体" w:cs="Arial"/>
          <w:szCs w:val="21"/>
        </w:rPr>
        <w:t>电线束耐盐雾试验按</w:t>
      </w:r>
      <w:r>
        <w:rPr>
          <w:rFonts w:ascii="Arial" w:hAnsi="Arial" w:cs="Arial"/>
          <w:szCs w:val="21"/>
        </w:rPr>
        <w:t>Q</w:t>
      </w:r>
      <w:r>
        <w:rPr>
          <w:rFonts w:ascii="Arial" w:hAnsi="Arial" w:cs="Arial"/>
          <w:color w:val="000000" w:themeColor="text1"/>
          <w:szCs w:val="21"/>
          <w14:textFill>
            <w14:solidFill>
              <w14:schemeClr w14:val="tx1"/>
            </w14:solidFill>
          </w14:textFill>
        </w:rPr>
        <w:t>C/T 413─2002</w:t>
      </w:r>
      <w:r>
        <w:rPr>
          <w:rFonts w:ascii="Arial" w:hAnsi="宋体" w:cs="Arial"/>
          <w:color w:val="000000" w:themeColor="text1"/>
          <w:szCs w:val="21"/>
          <w14:textFill>
            <w14:solidFill>
              <w14:schemeClr w14:val="tx1"/>
            </w14:solidFill>
          </w14:textFill>
        </w:rPr>
        <w:t>中</w:t>
      </w:r>
      <w:r>
        <w:rPr>
          <w:rFonts w:ascii="Arial" w:hAnsi="Arial" w:cs="Arial"/>
          <w:color w:val="000000" w:themeColor="text1"/>
          <w:szCs w:val="21"/>
          <w14:textFill>
            <w14:solidFill>
              <w14:schemeClr w14:val="tx1"/>
            </w14:solidFill>
          </w14:textFill>
        </w:rPr>
        <w:t>4.1</w:t>
      </w:r>
      <w:r>
        <w:rPr>
          <w:rFonts w:ascii="Arial" w:hAnsi="Arial" w:cs="Arial"/>
          <w:szCs w:val="21"/>
        </w:rPr>
        <w:t>3</w:t>
      </w:r>
      <w:r>
        <w:rPr>
          <w:rFonts w:hint="eastAsia" w:ascii="Arial" w:hAnsi="Arial" w:cs="Arial"/>
          <w:szCs w:val="21"/>
        </w:rPr>
        <w:t>的</w:t>
      </w:r>
      <w:r>
        <w:rPr>
          <w:rFonts w:ascii="Arial" w:hAnsi="宋体" w:cs="Arial"/>
          <w:szCs w:val="21"/>
        </w:rPr>
        <w:t>规定进行，试验后检验电线束应符合</w:t>
      </w:r>
      <w:r>
        <w:rPr>
          <w:rFonts w:ascii="Arial" w:hAnsi="Arial" w:cs="Arial"/>
          <w:szCs w:val="21"/>
        </w:rPr>
        <w:t>4.14</w:t>
      </w:r>
      <w:r>
        <w:rPr>
          <w:rFonts w:ascii="Arial" w:hAnsi="宋体" w:cs="Arial"/>
          <w:szCs w:val="21"/>
        </w:rPr>
        <w:t>的规定。</w:t>
      </w:r>
    </w:p>
    <w:p>
      <w:pPr>
        <w:pStyle w:val="40"/>
        <w:rPr>
          <w:rFonts w:ascii="Arial" w:hAnsi="Arial" w:cs="Arial"/>
          <w:szCs w:val="21"/>
        </w:rPr>
      </w:pPr>
      <w:r>
        <w:rPr>
          <w:rFonts w:hint="eastAsia" w:ascii="Arial" w:hAnsi="Arial" w:cs="Arial"/>
          <w:szCs w:val="21"/>
        </w:rPr>
        <w:t>缸内线不适用。</w:t>
      </w:r>
    </w:p>
    <w:p>
      <w:pPr>
        <w:pStyle w:val="127"/>
        <w:spacing w:before="156" w:after="156"/>
      </w:pPr>
      <w:bookmarkStart w:id="237" w:name="_Toc323893018"/>
      <w:bookmarkStart w:id="238" w:name="_Toc323892892"/>
      <w:bookmarkStart w:id="239" w:name="_Toc323740736"/>
      <w:bookmarkStart w:id="240" w:name="_Toc323892747"/>
      <w:bookmarkStart w:id="241" w:name="_Toc323740672"/>
      <w:bookmarkStart w:id="242" w:name="_Toc197519427"/>
      <w:bookmarkStart w:id="243" w:name="_Toc323893895"/>
      <w:r>
        <w:t>耐工业溶剂试验</w:t>
      </w:r>
      <w:bookmarkEnd w:id="237"/>
      <w:bookmarkEnd w:id="238"/>
      <w:bookmarkEnd w:id="239"/>
      <w:bookmarkEnd w:id="240"/>
      <w:bookmarkEnd w:id="241"/>
      <w:bookmarkEnd w:id="242"/>
      <w:bookmarkEnd w:id="243"/>
    </w:p>
    <w:p>
      <w:pPr>
        <w:pStyle w:val="80"/>
        <w:ind w:firstLine="420"/>
      </w:pPr>
    </w:p>
    <w:p>
      <w:pPr>
        <w:pStyle w:val="40"/>
        <w:ind w:firstLine="0" w:firstLineChars="0"/>
        <w:rPr>
          <w:rFonts w:hint="eastAsia" w:ascii="Arial" w:hAnsi="宋体" w:cs="Arial"/>
          <w:szCs w:val="21"/>
        </w:rPr>
      </w:pPr>
      <w:r>
        <w:rPr>
          <w:rFonts w:hint="eastAsia" w:ascii="Arial" w:hAnsi="宋体" w:cs="Arial"/>
          <w:szCs w:val="21"/>
        </w:rPr>
        <w:t xml:space="preserve">    </w:t>
      </w:r>
      <w:r>
        <w:rPr>
          <w:rFonts w:ascii="Arial" w:hAnsi="宋体" w:cs="Arial"/>
          <w:szCs w:val="21"/>
        </w:rPr>
        <w:t>电线束耐工业溶剂试验，按表</w:t>
      </w:r>
      <w:r>
        <w:rPr>
          <w:rFonts w:hint="eastAsia" w:ascii="Arial" w:hAnsi="Arial" w:cs="Arial"/>
          <w:szCs w:val="21"/>
        </w:rPr>
        <w:t>7</w:t>
      </w:r>
      <w:r>
        <w:rPr>
          <w:rFonts w:ascii="Arial" w:hAnsi="宋体" w:cs="Arial"/>
          <w:szCs w:val="21"/>
        </w:rPr>
        <w:t>规定的溶剂顺序，同一试样经每种溶剂</w:t>
      </w:r>
      <w:r>
        <w:rPr>
          <w:rFonts w:ascii="Arial" w:hAnsi="Arial" w:cs="Arial"/>
          <w:szCs w:val="21"/>
        </w:rPr>
        <w:t>20</w:t>
      </w:r>
      <w:r>
        <w:rPr>
          <w:rFonts w:ascii="Arial" w:hAnsi="宋体" w:cs="Arial"/>
          <w:szCs w:val="21"/>
        </w:rPr>
        <w:t>个循环后按不同的安装位置分别进行检验</w:t>
      </w:r>
      <w:r>
        <w:rPr>
          <w:rFonts w:hint="eastAsia" w:ascii="Arial" w:hAnsi="宋体" w:cs="Arial"/>
          <w:szCs w:val="21"/>
        </w:rPr>
        <w:t>，</w:t>
      </w:r>
      <w:r>
        <w:rPr>
          <w:rFonts w:ascii="Arial" w:hAnsi="宋体" w:cs="Arial"/>
          <w:szCs w:val="21"/>
        </w:rPr>
        <w:t>试验后检验电线束应符合</w:t>
      </w:r>
      <w:r>
        <w:rPr>
          <w:rFonts w:ascii="Arial" w:hAnsi="Arial" w:cs="Arial"/>
          <w:szCs w:val="21"/>
        </w:rPr>
        <w:t>4.15</w:t>
      </w:r>
      <w:r>
        <w:rPr>
          <w:rFonts w:ascii="Arial" w:hAnsi="宋体" w:cs="Arial"/>
          <w:szCs w:val="21"/>
        </w:rPr>
        <w:t>的规定。</w:t>
      </w:r>
    </w:p>
    <w:p>
      <w:pPr>
        <w:pStyle w:val="134"/>
        <w:numPr>
          <w:ilvl w:val="0"/>
          <w:numId w:val="2"/>
        </w:numPr>
        <w:spacing w:before="156" w:after="156"/>
        <w:ind w:left="0"/>
      </w:pPr>
      <w:bookmarkStart w:id="244" w:name="_Toc197351971"/>
      <w:r>
        <w:rPr>
          <w:rFonts w:hint="eastAsia"/>
        </w:rPr>
        <w:t>试验用溶剂和循环条件</w:t>
      </w:r>
      <w:bookmarkEnd w:id="244"/>
    </w:p>
    <w:tbl>
      <w:tblPr>
        <w:tblStyle w:val="30"/>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44"/>
        <w:gridCol w:w="1748"/>
        <w:gridCol w:w="803"/>
        <w:gridCol w:w="869"/>
        <w:gridCol w:w="963"/>
        <w:gridCol w:w="1001"/>
        <w:gridCol w:w="1420"/>
        <w:gridCol w:w="1513"/>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44" w:type="dxa"/>
            <w:vMerge w:val="restart"/>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序号</w:t>
            </w:r>
          </w:p>
        </w:tc>
        <w:tc>
          <w:tcPr>
            <w:tcW w:w="1748" w:type="dxa"/>
            <w:vMerge w:val="restart"/>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溶剂</w:t>
            </w:r>
          </w:p>
        </w:tc>
        <w:tc>
          <w:tcPr>
            <w:tcW w:w="3636" w:type="dxa"/>
            <w:gridSpan w:val="4"/>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1个循环</w:t>
            </w:r>
          </w:p>
        </w:tc>
        <w:tc>
          <w:tcPr>
            <w:tcW w:w="2933" w:type="dxa"/>
            <w:gridSpan w:val="2"/>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试验部位</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44" w:type="dxa"/>
            <w:vMerge w:val="continue"/>
            <w:vAlign w:val="center"/>
          </w:tcPr>
          <w:p>
            <w:pPr>
              <w:pStyle w:val="28"/>
              <w:spacing w:before="0" w:beforeAutospacing="0" w:after="0" w:afterAutospacing="0"/>
              <w:jc w:val="center"/>
              <w:rPr>
                <w:rFonts w:hint="eastAsia" w:cs="Arial"/>
                <w:color w:val="auto"/>
                <w:kern w:val="2"/>
                <w:sz w:val="18"/>
                <w:szCs w:val="18"/>
              </w:rPr>
            </w:pPr>
          </w:p>
        </w:tc>
        <w:tc>
          <w:tcPr>
            <w:tcW w:w="1748" w:type="dxa"/>
            <w:vMerge w:val="continue"/>
            <w:vAlign w:val="center"/>
          </w:tcPr>
          <w:p>
            <w:pPr>
              <w:pStyle w:val="28"/>
              <w:spacing w:before="0" w:beforeAutospacing="0" w:after="0" w:afterAutospacing="0"/>
              <w:jc w:val="center"/>
              <w:rPr>
                <w:rFonts w:hint="eastAsia" w:cs="Arial"/>
                <w:color w:val="auto"/>
                <w:kern w:val="2"/>
                <w:sz w:val="18"/>
                <w:szCs w:val="18"/>
              </w:rPr>
            </w:pPr>
          </w:p>
        </w:tc>
        <w:tc>
          <w:tcPr>
            <w:tcW w:w="1672" w:type="dxa"/>
            <w:gridSpan w:val="2"/>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浸入</w:t>
            </w:r>
          </w:p>
        </w:tc>
        <w:tc>
          <w:tcPr>
            <w:tcW w:w="1964" w:type="dxa"/>
            <w:gridSpan w:val="2"/>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干燥</w:t>
            </w:r>
          </w:p>
        </w:tc>
        <w:tc>
          <w:tcPr>
            <w:tcW w:w="1420" w:type="dxa"/>
            <w:vMerge w:val="restart"/>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装在发动机上的线束</w:t>
            </w:r>
          </w:p>
        </w:tc>
        <w:tc>
          <w:tcPr>
            <w:tcW w:w="1513" w:type="dxa"/>
            <w:vMerge w:val="restart"/>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装在缸内的线束</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14" w:hRule="atLeast"/>
          <w:jc w:val="center"/>
        </w:trPr>
        <w:tc>
          <w:tcPr>
            <w:tcW w:w="944" w:type="dxa"/>
            <w:vMerge w:val="continue"/>
            <w:tcBorders>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p>
        </w:tc>
        <w:tc>
          <w:tcPr>
            <w:tcW w:w="1748" w:type="dxa"/>
            <w:vMerge w:val="continue"/>
            <w:tcBorders>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p>
        </w:tc>
        <w:tc>
          <w:tcPr>
            <w:tcW w:w="803" w:type="dxa"/>
            <w:tcBorders>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时间</w:t>
            </w:r>
          </w:p>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 xml:space="preserve"> min</w:t>
            </w:r>
          </w:p>
        </w:tc>
        <w:tc>
          <w:tcPr>
            <w:tcW w:w="869" w:type="dxa"/>
            <w:tcBorders>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温度</w:t>
            </w:r>
          </w:p>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w:t>
            </w:r>
          </w:p>
        </w:tc>
        <w:tc>
          <w:tcPr>
            <w:tcW w:w="963" w:type="dxa"/>
            <w:tcBorders>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时间</w:t>
            </w:r>
          </w:p>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 xml:space="preserve"> min</w:t>
            </w:r>
          </w:p>
        </w:tc>
        <w:tc>
          <w:tcPr>
            <w:tcW w:w="1001" w:type="dxa"/>
            <w:tcBorders>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温度</w:t>
            </w:r>
          </w:p>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w:t>
            </w:r>
          </w:p>
        </w:tc>
        <w:tc>
          <w:tcPr>
            <w:tcW w:w="1420" w:type="dxa"/>
            <w:vMerge w:val="continue"/>
            <w:tcBorders>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p>
        </w:tc>
        <w:tc>
          <w:tcPr>
            <w:tcW w:w="1513" w:type="dxa"/>
            <w:vMerge w:val="continue"/>
            <w:tcBorders>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44" w:type="dxa"/>
            <w:tcBorders>
              <w:top w:val="single" w:color="000000" w:sz="12"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1</w:t>
            </w:r>
          </w:p>
        </w:tc>
        <w:tc>
          <w:tcPr>
            <w:tcW w:w="1748" w:type="dxa"/>
            <w:tcBorders>
              <w:top w:val="single" w:color="000000" w:sz="12"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玻璃清洗液</w:t>
            </w:r>
          </w:p>
        </w:tc>
        <w:tc>
          <w:tcPr>
            <w:tcW w:w="803" w:type="dxa"/>
            <w:tcBorders>
              <w:top w:val="single" w:color="000000" w:sz="12"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3</w:t>
            </w:r>
          </w:p>
        </w:tc>
        <w:tc>
          <w:tcPr>
            <w:tcW w:w="869" w:type="dxa"/>
            <w:tcBorders>
              <w:top w:val="single" w:color="000000" w:sz="12"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23±2</w:t>
            </w:r>
          </w:p>
        </w:tc>
        <w:tc>
          <w:tcPr>
            <w:tcW w:w="963" w:type="dxa"/>
            <w:tcBorders>
              <w:top w:val="single" w:color="000000" w:sz="12"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30</w:t>
            </w:r>
          </w:p>
        </w:tc>
        <w:tc>
          <w:tcPr>
            <w:tcW w:w="1001" w:type="dxa"/>
            <w:tcBorders>
              <w:top w:val="single" w:color="000000" w:sz="12"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23±5</w:t>
            </w:r>
          </w:p>
        </w:tc>
        <w:tc>
          <w:tcPr>
            <w:tcW w:w="1420" w:type="dxa"/>
            <w:tcBorders>
              <w:top w:val="single" w:color="000000" w:sz="12"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w:t>
            </w:r>
          </w:p>
        </w:tc>
        <w:tc>
          <w:tcPr>
            <w:tcW w:w="1513" w:type="dxa"/>
            <w:tcBorders>
              <w:top w:val="single" w:color="000000" w:sz="12"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44"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2</w:t>
            </w:r>
          </w:p>
        </w:tc>
        <w:tc>
          <w:tcPr>
            <w:tcW w:w="1748"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车用柴油</w:t>
            </w:r>
            <w:r>
              <w:rPr>
                <w:rFonts w:cs="Arial"/>
                <w:color w:val="auto"/>
                <w:kern w:val="2"/>
                <w:sz w:val="18"/>
                <w:szCs w:val="18"/>
                <w:vertAlign w:val="superscript"/>
              </w:rPr>
              <w:t>a</w:t>
            </w:r>
            <w:r>
              <w:rPr>
                <w:rFonts w:cs="Arial"/>
                <w:color w:val="auto"/>
                <w:kern w:val="2"/>
                <w:sz w:val="18"/>
                <w:szCs w:val="18"/>
              </w:rPr>
              <w:t>（0号）</w:t>
            </w:r>
          </w:p>
        </w:tc>
        <w:tc>
          <w:tcPr>
            <w:tcW w:w="803"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3</w:t>
            </w:r>
          </w:p>
        </w:tc>
        <w:tc>
          <w:tcPr>
            <w:tcW w:w="869"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23±2</w:t>
            </w:r>
          </w:p>
        </w:tc>
        <w:tc>
          <w:tcPr>
            <w:tcW w:w="963"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30</w:t>
            </w:r>
          </w:p>
        </w:tc>
        <w:tc>
          <w:tcPr>
            <w:tcW w:w="1001"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23±5</w:t>
            </w:r>
          </w:p>
        </w:tc>
        <w:tc>
          <w:tcPr>
            <w:tcW w:w="1420"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w:t>
            </w:r>
          </w:p>
        </w:tc>
        <w:tc>
          <w:tcPr>
            <w:tcW w:w="1513"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44" w:type="dxa"/>
            <w:vMerge w:val="restart"/>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3</w:t>
            </w:r>
          </w:p>
        </w:tc>
        <w:tc>
          <w:tcPr>
            <w:tcW w:w="1748" w:type="dxa"/>
            <w:vMerge w:val="restart"/>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柴油机油</w:t>
            </w:r>
            <w:r>
              <w:rPr>
                <w:rFonts w:cs="Arial"/>
                <w:color w:val="auto"/>
                <w:kern w:val="2"/>
                <w:sz w:val="18"/>
                <w:szCs w:val="18"/>
                <w:vertAlign w:val="superscript"/>
              </w:rPr>
              <w:t>b</w:t>
            </w:r>
          </w:p>
        </w:tc>
        <w:tc>
          <w:tcPr>
            <w:tcW w:w="803"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3</w:t>
            </w:r>
          </w:p>
        </w:tc>
        <w:tc>
          <w:tcPr>
            <w:tcW w:w="869"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90±2</w:t>
            </w:r>
          </w:p>
        </w:tc>
        <w:tc>
          <w:tcPr>
            <w:tcW w:w="963"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30</w:t>
            </w:r>
          </w:p>
        </w:tc>
        <w:tc>
          <w:tcPr>
            <w:tcW w:w="1001"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23±5</w:t>
            </w:r>
          </w:p>
        </w:tc>
        <w:tc>
          <w:tcPr>
            <w:tcW w:w="1420"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w:t>
            </w:r>
          </w:p>
        </w:tc>
        <w:tc>
          <w:tcPr>
            <w:tcW w:w="1513"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44" w:type="dxa"/>
            <w:vMerge w:val="continue"/>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p>
        </w:tc>
        <w:tc>
          <w:tcPr>
            <w:tcW w:w="1748" w:type="dxa"/>
            <w:vMerge w:val="continue"/>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p>
        </w:tc>
        <w:tc>
          <w:tcPr>
            <w:tcW w:w="803"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480</w:t>
            </w:r>
          </w:p>
        </w:tc>
        <w:tc>
          <w:tcPr>
            <w:tcW w:w="869"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130±2</w:t>
            </w:r>
          </w:p>
        </w:tc>
        <w:tc>
          <w:tcPr>
            <w:tcW w:w="963"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30</w:t>
            </w:r>
          </w:p>
        </w:tc>
        <w:tc>
          <w:tcPr>
            <w:tcW w:w="1001"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23±2</w:t>
            </w:r>
          </w:p>
        </w:tc>
        <w:tc>
          <w:tcPr>
            <w:tcW w:w="1420"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p>
        </w:tc>
        <w:tc>
          <w:tcPr>
            <w:tcW w:w="1513" w:type="dxa"/>
            <w:tcBorders>
              <w:top w:val="single" w:color="000000" w:sz="6" w:space="0"/>
              <w:bottom w:val="single" w:color="000000" w:sz="6"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44" w:type="dxa"/>
            <w:tcBorders>
              <w:top w:val="single" w:color="000000" w:sz="6" w:space="0"/>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4</w:t>
            </w:r>
          </w:p>
        </w:tc>
        <w:tc>
          <w:tcPr>
            <w:tcW w:w="1748" w:type="dxa"/>
            <w:tcBorders>
              <w:top w:val="single" w:color="000000" w:sz="6" w:space="0"/>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冷却液</w:t>
            </w:r>
          </w:p>
        </w:tc>
        <w:tc>
          <w:tcPr>
            <w:tcW w:w="803" w:type="dxa"/>
            <w:tcBorders>
              <w:top w:val="single" w:color="000000" w:sz="6" w:space="0"/>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3</w:t>
            </w:r>
          </w:p>
        </w:tc>
        <w:tc>
          <w:tcPr>
            <w:tcW w:w="869" w:type="dxa"/>
            <w:tcBorders>
              <w:top w:val="single" w:color="000000" w:sz="6" w:space="0"/>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90±2</w:t>
            </w:r>
          </w:p>
        </w:tc>
        <w:tc>
          <w:tcPr>
            <w:tcW w:w="963" w:type="dxa"/>
            <w:tcBorders>
              <w:top w:val="single" w:color="000000" w:sz="6" w:space="0"/>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30</w:t>
            </w:r>
          </w:p>
        </w:tc>
        <w:tc>
          <w:tcPr>
            <w:tcW w:w="1001" w:type="dxa"/>
            <w:tcBorders>
              <w:top w:val="single" w:color="000000" w:sz="6" w:space="0"/>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23±5</w:t>
            </w:r>
          </w:p>
        </w:tc>
        <w:tc>
          <w:tcPr>
            <w:tcW w:w="1420" w:type="dxa"/>
            <w:tcBorders>
              <w:top w:val="single" w:color="000000" w:sz="6" w:space="0"/>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w:t>
            </w:r>
          </w:p>
        </w:tc>
        <w:tc>
          <w:tcPr>
            <w:tcW w:w="1513" w:type="dxa"/>
            <w:tcBorders>
              <w:top w:val="single" w:color="000000" w:sz="6" w:space="0"/>
              <w:bottom w:val="single" w:color="000000" w:sz="12" w:space="0"/>
            </w:tcBorders>
            <w:vAlign w:val="center"/>
          </w:tcPr>
          <w:p>
            <w:pPr>
              <w:pStyle w:val="28"/>
              <w:spacing w:before="0" w:beforeAutospacing="0" w:after="0" w:afterAutospacing="0"/>
              <w:jc w:val="center"/>
              <w:rPr>
                <w:rFonts w:hint="eastAsia" w:cs="Arial"/>
                <w:color w:val="auto"/>
                <w:kern w:val="2"/>
                <w:sz w:val="18"/>
                <w:szCs w:val="18"/>
              </w:rPr>
            </w:pPr>
            <w:r>
              <w:rPr>
                <w:rFonts w:cs="Arial"/>
                <w:color w:val="auto"/>
                <w:kern w:val="2"/>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93" w:hRule="atLeast"/>
          <w:jc w:val="center"/>
        </w:trPr>
        <w:tc>
          <w:tcPr>
            <w:tcW w:w="9261" w:type="dxa"/>
            <w:gridSpan w:val="8"/>
            <w:tcBorders>
              <w:top w:val="single" w:color="000000" w:sz="12" w:space="0"/>
            </w:tcBorders>
            <w:vAlign w:val="center"/>
          </w:tcPr>
          <w:p>
            <w:pPr>
              <w:pStyle w:val="272"/>
              <w:numPr>
                <w:ilvl w:val="0"/>
                <w:numId w:val="26"/>
              </w:numPr>
              <w:ind w:left="726" w:hanging="363"/>
              <w:jc w:val="left"/>
              <w:rPr>
                <w:rFonts w:hint="eastAsia" w:hAnsi="宋体" w:cs="Arial"/>
                <w:kern w:val="2"/>
              </w:rPr>
            </w:pPr>
            <w:r>
              <w:rPr>
                <w:rFonts w:hAnsi="宋体" w:cs="Arial"/>
                <w:kern w:val="2"/>
              </w:rPr>
              <w:t>带“√”符号表示应按规定进行的试验。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9261" w:type="dxa"/>
            <w:gridSpan w:val="8"/>
            <w:vAlign w:val="center"/>
          </w:tcPr>
          <w:p>
            <w:pPr>
              <w:pStyle w:val="192"/>
              <w:numPr>
                <w:ilvl w:val="0"/>
                <w:numId w:val="35"/>
              </w:numPr>
              <w:spacing w:before="156" w:after="156" w:line="240" w:lineRule="atLeast"/>
              <w:ind w:left="465"/>
              <w:jc w:val="left"/>
              <w:rPr>
                <w:rFonts w:hint="eastAsia" w:hAnsi="宋体" w:cs="Arial"/>
                <w:kern w:val="0"/>
              </w:rPr>
            </w:pPr>
            <w:r>
              <w:rPr>
                <w:rFonts w:hAnsi="宋体" w:cs="Arial"/>
              </w:rPr>
              <w:t>车用柴油应符合</w:t>
            </w:r>
            <w:r>
              <w:rPr>
                <w:rFonts w:hAnsi="宋体" w:cs="Arial"/>
                <w:kern w:val="0"/>
              </w:rPr>
              <w:t>GB/T 19147的要求</w:t>
            </w:r>
            <w:r>
              <w:rPr>
                <w:rFonts w:hint="eastAsia" w:hAnsi="宋体" w:cs="Arial"/>
                <w:kern w:val="0"/>
              </w:rPr>
              <w:t>；</w:t>
            </w:r>
          </w:p>
          <w:p>
            <w:pPr>
              <w:pStyle w:val="192"/>
              <w:numPr>
                <w:ilvl w:val="0"/>
                <w:numId w:val="35"/>
              </w:numPr>
              <w:spacing w:before="156" w:after="156" w:line="240" w:lineRule="atLeast"/>
              <w:ind w:left="465"/>
              <w:jc w:val="left"/>
              <w:rPr>
                <w:rFonts w:hint="eastAsia" w:hAnsi="宋体" w:cs="Arial"/>
              </w:rPr>
            </w:pPr>
            <w:r>
              <w:rPr>
                <w:rFonts w:hAnsi="宋体" w:cs="Arial"/>
              </w:rPr>
              <w:t>柴油机油应符合GB 11122的要求。</w:t>
            </w:r>
          </w:p>
        </w:tc>
      </w:tr>
    </w:tbl>
    <w:p>
      <w:pPr>
        <w:pStyle w:val="40"/>
        <w:jc w:val="center"/>
        <w:rPr>
          <w:rFonts w:ascii="Arial" w:hAnsi="Arial" w:cs="Arial"/>
        </w:rPr>
      </w:pPr>
      <w:r>
        <w:rPr>
          <w:rFonts w:ascii="Arial" w:hAnsi="Arial" w:cs="Arial"/>
        </w:rPr>
        <w:drawing>
          <wp:inline distT="0" distB="0" distL="0" distR="0">
            <wp:extent cx="2639695" cy="1934845"/>
            <wp:effectExtent l="19050" t="0" r="7752"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7" cstate="print"/>
                    <a:srcRect/>
                    <a:stretch>
                      <a:fillRect/>
                    </a:stretch>
                  </pic:blipFill>
                  <pic:spPr>
                    <a:xfrm>
                      <a:off x="0" y="0"/>
                      <a:ext cx="2638425" cy="1933826"/>
                    </a:xfrm>
                    <a:prstGeom prst="rect">
                      <a:avLst/>
                    </a:prstGeom>
                    <a:noFill/>
                    <a:ln w="9525">
                      <a:noFill/>
                      <a:miter lim="800000"/>
                      <a:headEnd/>
                      <a:tailEnd/>
                    </a:ln>
                  </pic:spPr>
                </pic:pic>
              </a:graphicData>
            </a:graphic>
          </wp:inline>
        </w:drawing>
      </w:r>
      <w:bookmarkStart w:id="245" w:name="_Toc323740673"/>
      <w:bookmarkStart w:id="246" w:name="_Toc323892893"/>
      <w:bookmarkStart w:id="247" w:name="_Toc323892748"/>
      <w:bookmarkStart w:id="248" w:name="_Toc323740737"/>
      <w:r>
        <w:rPr>
          <w:rFonts w:ascii="Arial" w:hAnsi="Arial" w:cs="Arial"/>
        </w:rPr>
        <w:drawing>
          <wp:inline distT="0" distB="0" distL="0" distR="0">
            <wp:extent cx="2073910" cy="1934210"/>
            <wp:effectExtent l="19050" t="0" r="2156"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8" cstate="print"/>
                    <a:srcRect/>
                    <a:stretch>
                      <a:fillRect/>
                    </a:stretch>
                  </pic:blipFill>
                  <pic:spPr>
                    <a:xfrm>
                      <a:off x="0" y="0"/>
                      <a:ext cx="2076450" cy="1936537"/>
                    </a:xfrm>
                    <a:prstGeom prst="rect">
                      <a:avLst/>
                    </a:prstGeom>
                    <a:noFill/>
                    <a:ln w="9525">
                      <a:noFill/>
                      <a:miter lim="800000"/>
                      <a:headEnd/>
                      <a:tailEnd/>
                    </a:ln>
                  </pic:spPr>
                </pic:pic>
              </a:graphicData>
            </a:graphic>
          </wp:inline>
        </w:drawing>
      </w:r>
      <w:bookmarkEnd w:id="245"/>
      <w:bookmarkEnd w:id="246"/>
      <w:bookmarkEnd w:id="247"/>
      <w:bookmarkEnd w:id="248"/>
    </w:p>
    <w:p>
      <w:pPr>
        <w:pStyle w:val="136"/>
        <w:jc w:val="center"/>
      </w:pPr>
      <w:bookmarkStart w:id="249" w:name="_Toc196816855"/>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14</w:t>
      </w:r>
      <w:r>
        <w:fldChar w:fldCharType="end"/>
      </w:r>
      <w:r>
        <w:rPr>
          <w:rFonts w:hint="eastAsia"/>
        </w:rPr>
        <w:t>缸内渗油试验图</w:t>
      </w:r>
      <w:bookmarkEnd w:id="249"/>
    </w:p>
    <w:p>
      <w:pPr>
        <w:pStyle w:val="127"/>
        <w:spacing w:before="156" w:after="156"/>
      </w:pPr>
      <w:bookmarkStart w:id="250" w:name="_Toc323893019"/>
      <w:bookmarkStart w:id="251" w:name="_Toc323740674"/>
      <w:bookmarkStart w:id="252" w:name="_Toc323740738"/>
      <w:bookmarkStart w:id="253" w:name="_Toc323892749"/>
      <w:bookmarkStart w:id="254" w:name="_Toc323892894"/>
      <w:bookmarkStart w:id="255" w:name="_Toc323893896"/>
      <w:bookmarkStart w:id="256" w:name="_Toc197519428"/>
      <w:r>
        <w:t>缸内渗油试验</w:t>
      </w:r>
      <w:bookmarkEnd w:id="250"/>
      <w:bookmarkEnd w:id="251"/>
      <w:bookmarkEnd w:id="252"/>
      <w:bookmarkEnd w:id="253"/>
      <w:bookmarkEnd w:id="254"/>
      <w:bookmarkEnd w:id="255"/>
      <w:bookmarkEnd w:id="256"/>
    </w:p>
    <w:p>
      <w:pPr>
        <w:pStyle w:val="80"/>
        <w:ind w:firstLine="420"/>
      </w:pPr>
      <w:r>
        <w:rPr>
          <w:rFonts w:hint="eastAsia"/>
        </w:rPr>
        <w:t>本试验只适用于缸内线。</w:t>
      </w:r>
    </w:p>
    <w:p>
      <w:pPr>
        <w:pStyle w:val="40"/>
        <w:rPr>
          <w:rFonts w:ascii="Arial" w:hAnsi="Arial" w:cs="Arial"/>
          <w:szCs w:val="21"/>
        </w:rPr>
      </w:pPr>
      <w:r>
        <w:rPr>
          <w:rFonts w:ascii="Arial" w:hAnsi="Arial" w:cs="Arial"/>
          <w:szCs w:val="21"/>
        </w:rPr>
        <w:t>如图1</w:t>
      </w:r>
      <w:r>
        <w:rPr>
          <w:rFonts w:hint="eastAsia" w:ascii="Arial" w:hAnsi="Arial" w:cs="Arial"/>
          <w:szCs w:val="21"/>
        </w:rPr>
        <w:t>3</w:t>
      </w:r>
      <w:r>
        <w:rPr>
          <w:rFonts w:ascii="Arial" w:hAnsi="Arial" w:cs="Arial"/>
          <w:szCs w:val="21"/>
        </w:rPr>
        <w:t>装置，将试验装置内注入一定量份的机油，将缸内线束密封缸盖孔处插接器两端各留有 100mm导线，将插接器固定到装置的口上，插接器在装置内部的导线应浸入机油中10mm。将机油加温到130</w:t>
      </w:r>
      <w:r>
        <w:rPr>
          <w:rFonts w:ascii="Arial" w:hAnsi="宋体" w:cs="Arial"/>
          <w:szCs w:val="21"/>
        </w:rPr>
        <w:t>℃</w:t>
      </w:r>
      <w:r>
        <w:rPr>
          <w:rFonts w:ascii="Arial" w:hAnsi="Arial" w:cs="Arial"/>
          <w:szCs w:val="21"/>
        </w:rPr>
        <w:t>并保持，并在装置内部施加2bar的压力，试验</w:t>
      </w:r>
      <w:r>
        <w:rPr>
          <w:rFonts w:hint="eastAsia" w:ascii="Arial" w:hAnsi="Arial" w:cs="Arial"/>
          <w:szCs w:val="21"/>
        </w:rPr>
        <w:t>1000</w:t>
      </w:r>
      <w:r>
        <w:rPr>
          <w:rFonts w:ascii="Arial" w:hAnsi="Arial" w:cs="Arial"/>
          <w:szCs w:val="21"/>
        </w:rPr>
        <w:t>h后，要求插接器与缸盖孔处不允许有油渗出；导线与插接器结合部分不允许有油渗出；插接器在如下装置的外端导线铜丝处不允许有油渗出。</w:t>
      </w:r>
    </w:p>
    <w:p>
      <w:pPr>
        <w:pStyle w:val="126"/>
        <w:spacing w:before="312" w:after="312"/>
      </w:pPr>
      <w:bookmarkStart w:id="257" w:name="_Toc197519429"/>
      <w:r>
        <w:rPr>
          <w:rFonts w:hint="eastAsia"/>
        </w:rPr>
        <w:t>检验规则</w:t>
      </w:r>
      <w:bookmarkEnd w:id="257"/>
    </w:p>
    <w:p>
      <w:pPr>
        <w:pStyle w:val="181"/>
        <w:rPr>
          <w:rFonts w:hAnsi="Arial"/>
        </w:rPr>
      </w:pPr>
      <w:r>
        <w:t>电线束</w:t>
      </w:r>
      <w:r>
        <w:rPr>
          <w:rFonts w:hint="eastAsia"/>
        </w:rPr>
        <w:t>应</w:t>
      </w:r>
      <w:r>
        <w:t>经检验合格方能出厂，并附有证明产品质量合格的文件或标记。</w:t>
      </w:r>
    </w:p>
    <w:p>
      <w:pPr>
        <w:pStyle w:val="181"/>
        <w:numPr>
          <w:ilvl w:val="0"/>
          <w:numId w:val="0"/>
        </w:numPr>
        <w:rPr>
          <w:rFonts w:hAnsi="Arial"/>
        </w:rPr>
      </w:pPr>
    </w:p>
    <w:p>
      <w:pPr>
        <w:pStyle w:val="181"/>
        <w:rPr>
          <w:rFonts w:hAnsi="Arial"/>
        </w:rPr>
      </w:pPr>
      <w:r>
        <w:t>电线束的检验分出厂检验和型式检验。</w:t>
      </w:r>
    </w:p>
    <w:p>
      <w:pPr>
        <w:pStyle w:val="181"/>
        <w:numPr>
          <w:ilvl w:val="0"/>
          <w:numId w:val="0"/>
        </w:numPr>
        <w:rPr>
          <w:rFonts w:hAnsi="Arial"/>
        </w:rPr>
      </w:pPr>
    </w:p>
    <w:p>
      <w:pPr>
        <w:pStyle w:val="181"/>
        <w:rPr>
          <w:rFonts w:hAnsi="Arial"/>
        </w:rPr>
      </w:pPr>
      <w:r>
        <w:t>出厂检验应符合表</w:t>
      </w:r>
      <w:r>
        <w:rPr>
          <w:rFonts w:hint="eastAsia" w:hAnsi="Arial"/>
        </w:rPr>
        <w:t>8</w:t>
      </w:r>
      <w:r>
        <w:t>的规定</w:t>
      </w:r>
      <w:r>
        <w:rPr>
          <w:rFonts w:hAnsi="ˎ̥"/>
        </w:rPr>
        <w:t>。</w:t>
      </w:r>
    </w:p>
    <w:p>
      <w:pPr>
        <w:pStyle w:val="181"/>
        <w:numPr>
          <w:ilvl w:val="0"/>
          <w:numId w:val="0"/>
        </w:numPr>
        <w:rPr>
          <w:rFonts w:hAnsi="Arial"/>
        </w:rPr>
      </w:pPr>
    </w:p>
    <w:p>
      <w:pPr>
        <w:pStyle w:val="181"/>
        <w:rPr>
          <w:rFonts w:hAnsi="Arial"/>
        </w:rPr>
      </w:pPr>
      <w:r>
        <w:rPr>
          <w:rFonts w:hAnsi="Arial"/>
          <w:kern w:val="2"/>
        </w:rPr>
        <w:t>下列情况之一，应进行型式检验</w:t>
      </w:r>
      <w:r>
        <w:rPr>
          <w:rFonts w:hint="eastAsia" w:hAnsi="Arial"/>
          <w:kern w:val="2"/>
        </w:rPr>
        <w:t>。</w:t>
      </w:r>
    </w:p>
    <w:p>
      <w:pPr>
        <w:pStyle w:val="247"/>
        <w:numPr>
          <w:ilvl w:val="0"/>
          <w:numId w:val="21"/>
        </w:numPr>
        <w:tabs>
          <w:tab w:val="clear" w:pos="851"/>
        </w:tabs>
        <w:ind w:left="833" w:hanging="408"/>
        <w:rPr>
          <w:rFonts w:ascii="Arial" w:hAnsi="Arial" w:cs="Arial"/>
        </w:rPr>
      </w:pPr>
      <w:r>
        <w:rPr>
          <w:rFonts w:ascii="Arial" w:hAnsi="Arial" w:cs="Arial"/>
          <w:kern w:val="2"/>
        </w:rPr>
        <w:t>新产品或老产品易地生产批量投产鉴定；</w:t>
      </w:r>
    </w:p>
    <w:p>
      <w:pPr>
        <w:pStyle w:val="247"/>
        <w:numPr>
          <w:ilvl w:val="0"/>
          <w:numId w:val="21"/>
        </w:numPr>
        <w:tabs>
          <w:tab w:val="clear" w:pos="851"/>
        </w:tabs>
        <w:ind w:left="833" w:hanging="408"/>
        <w:rPr>
          <w:rFonts w:ascii="Arial" w:hAnsi="Arial" w:cs="Arial"/>
        </w:rPr>
      </w:pPr>
      <w:r>
        <w:rPr>
          <w:rFonts w:ascii="Arial" w:hAnsi="Arial" w:cs="Arial"/>
          <w:kern w:val="2"/>
        </w:rPr>
        <w:t>正式生产后，如结构、材料、工艺有较大改变而可能影响产品性能时；</w:t>
      </w:r>
    </w:p>
    <w:p>
      <w:pPr>
        <w:pStyle w:val="247"/>
        <w:numPr>
          <w:ilvl w:val="0"/>
          <w:numId w:val="21"/>
        </w:numPr>
        <w:tabs>
          <w:tab w:val="clear" w:pos="851"/>
        </w:tabs>
        <w:ind w:left="833" w:hanging="408"/>
        <w:rPr>
          <w:rFonts w:ascii="Arial" w:hAnsi="Arial" w:cs="Arial"/>
        </w:rPr>
      </w:pPr>
      <w:r>
        <w:rPr>
          <w:rFonts w:ascii="Arial" w:hAnsi="Arial" w:cs="Arial"/>
          <w:kern w:val="2"/>
        </w:rPr>
        <w:t>成批或大量生产的产品每2年不少于一次；</w:t>
      </w:r>
    </w:p>
    <w:p>
      <w:pPr>
        <w:pStyle w:val="247"/>
        <w:numPr>
          <w:ilvl w:val="0"/>
          <w:numId w:val="21"/>
        </w:numPr>
        <w:tabs>
          <w:tab w:val="clear" w:pos="851"/>
        </w:tabs>
        <w:ind w:left="833" w:hanging="408"/>
        <w:rPr>
          <w:rFonts w:ascii="Arial" w:hAnsi="Arial" w:cs="Arial"/>
        </w:rPr>
      </w:pPr>
      <w:r>
        <w:rPr>
          <w:rFonts w:ascii="Arial" w:hAnsi="Arial" w:cs="Arial"/>
          <w:kern w:val="2"/>
        </w:rPr>
        <w:t>停产一年以上，恢复生产时；</w:t>
      </w:r>
    </w:p>
    <w:p>
      <w:pPr>
        <w:pStyle w:val="247"/>
        <w:numPr>
          <w:ilvl w:val="0"/>
          <w:numId w:val="21"/>
        </w:numPr>
        <w:tabs>
          <w:tab w:val="clear" w:pos="851"/>
        </w:tabs>
        <w:ind w:left="833" w:hanging="408"/>
        <w:rPr>
          <w:rFonts w:ascii="Arial" w:hAnsi="Arial" w:cs="Arial"/>
        </w:rPr>
      </w:pPr>
      <w:r>
        <w:rPr>
          <w:rFonts w:ascii="Arial" w:hAnsi="Arial" w:cs="Arial"/>
          <w:kern w:val="2"/>
        </w:rPr>
        <w:t>出厂检验结果与上次型式检验结果有较大差异时；</w:t>
      </w:r>
    </w:p>
    <w:p>
      <w:pPr>
        <w:pStyle w:val="247"/>
        <w:numPr>
          <w:ilvl w:val="0"/>
          <w:numId w:val="21"/>
        </w:numPr>
        <w:tabs>
          <w:tab w:val="clear" w:pos="851"/>
        </w:tabs>
        <w:ind w:left="833" w:hanging="408"/>
        <w:rPr>
          <w:rFonts w:ascii="Arial" w:hAnsi="Arial" w:cs="Arial"/>
        </w:rPr>
      </w:pPr>
      <w:r>
        <w:rPr>
          <w:rFonts w:ascii="Arial" w:hAnsi="Arial" w:cs="Arial"/>
          <w:kern w:val="2"/>
        </w:rPr>
        <w:t>国家监督机构提出进行型式检验要求时。</w:t>
      </w:r>
    </w:p>
    <w:p>
      <w:pPr>
        <w:pStyle w:val="247"/>
        <w:tabs>
          <w:tab w:val="left" w:pos="851"/>
        </w:tabs>
        <w:ind w:firstLine="0"/>
        <w:rPr>
          <w:rFonts w:ascii="Arial" w:hAnsi="Arial" w:cs="Arial"/>
        </w:rPr>
      </w:pPr>
    </w:p>
    <w:p>
      <w:pPr>
        <w:pStyle w:val="181"/>
      </w:pPr>
      <w:r>
        <w:t>进行型式检验的产品，应从出厂检验合格的能够覆盖整个加工工艺的产品中随机抽取。共抽取10个样本，先按出厂检验项目检验，合格后分成三组，第1组和第2组各为2个样本；第3组为6个样本。每组样本的检验项目和检验顺序应符合表</w:t>
      </w:r>
      <w:r>
        <w:rPr>
          <w:rFonts w:hint="eastAsia"/>
        </w:rPr>
        <w:t>9</w:t>
      </w:r>
      <w:r>
        <w:t>规定。</w:t>
      </w:r>
    </w:p>
    <w:p>
      <w:pPr>
        <w:pStyle w:val="181"/>
        <w:numPr>
          <w:ilvl w:val="0"/>
          <w:numId w:val="0"/>
        </w:numPr>
      </w:pPr>
    </w:p>
    <w:p>
      <w:pPr>
        <w:pStyle w:val="181"/>
      </w:pPr>
      <w:r>
        <w:rPr>
          <w:rFonts w:hAnsi="宋体"/>
        </w:rPr>
        <w:t>端子与导体压接横断面检验</w:t>
      </w:r>
      <w:r>
        <w:rPr>
          <w:rFonts w:hint="eastAsia" w:hAnsi="宋体"/>
        </w:rPr>
        <w:t>的</w:t>
      </w:r>
      <w:r>
        <w:rPr>
          <w:rFonts w:hAnsi="宋体"/>
        </w:rPr>
        <w:t>数量，压接接点横断面检验</w:t>
      </w:r>
      <w:r>
        <w:rPr>
          <w:rFonts w:hint="eastAsia" w:hAnsi="宋体"/>
        </w:rPr>
        <w:t>的</w:t>
      </w:r>
      <w:r>
        <w:rPr>
          <w:rFonts w:hAnsi="宋体"/>
        </w:rPr>
        <w:t>数量，端子与导体压接电压降</w:t>
      </w:r>
      <w:r>
        <w:rPr>
          <w:rFonts w:hint="eastAsia" w:hAnsi="宋体"/>
        </w:rPr>
        <w:t>的</w:t>
      </w:r>
      <w:r>
        <w:rPr>
          <w:rFonts w:hAnsi="宋体"/>
        </w:rPr>
        <w:t>检验数量，均按每个样本中端子或接点总数的</w:t>
      </w:r>
      <w:r>
        <w:t>10%</w:t>
      </w:r>
      <w:r>
        <w:rPr>
          <w:rFonts w:hAnsi="宋体"/>
        </w:rPr>
        <w:t>随机抽取，但最少不得少于</w:t>
      </w:r>
      <w:r>
        <w:t>6</w:t>
      </w:r>
      <w:r>
        <w:rPr>
          <w:rFonts w:hAnsi="宋体"/>
        </w:rPr>
        <w:t>个，如果端子或接点总数不足</w:t>
      </w:r>
      <w:r>
        <w:t>6</w:t>
      </w:r>
      <w:r>
        <w:rPr>
          <w:rFonts w:hAnsi="宋体"/>
        </w:rPr>
        <w:t>个则全检</w:t>
      </w:r>
      <w:r>
        <w:rPr>
          <w:rFonts w:hint="eastAsia" w:hAnsi="宋体"/>
        </w:rPr>
        <w:t>，</w:t>
      </w:r>
      <w:r>
        <w:rPr>
          <w:rFonts w:hAnsi="宋体"/>
        </w:rPr>
        <w:t>检验宜最大限度地包括各种类型的端子或接点。</w:t>
      </w:r>
    </w:p>
    <w:p>
      <w:pPr>
        <w:pStyle w:val="181"/>
        <w:numPr>
          <w:ilvl w:val="0"/>
          <w:numId w:val="0"/>
        </w:numPr>
      </w:pPr>
    </w:p>
    <w:p>
      <w:pPr>
        <w:pStyle w:val="181"/>
        <w:numPr>
          <w:ilvl w:val="0"/>
          <w:numId w:val="0"/>
        </w:numPr>
      </w:pPr>
      <w:r>
        <w:rPr>
          <w:rFonts w:hAnsi="宋体"/>
        </w:rPr>
        <w:t>产品的型式检验必须全部合格</w:t>
      </w:r>
      <w:r>
        <w:rPr>
          <w:rFonts w:hint="eastAsia" w:hAnsi="宋体"/>
        </w:rPr>
        <w:t>，</w:t>
      </w:r>
      <w:r>
        <w:rPr>
          <w:rFonts w:hAnsi="宋体"/>
        </w:rPr>
        <w:t>如有一项不合格时，允许重新抽取加倍数量的产品，对该不合格项目进行复检</w:t>
      </w:r>
      <w:r>
        <w:rPr>
          <w:rFonts w:hint="eastAsia" w:hAnsi="宋体"/>
        </w:rPr>
        <w:t>，</w:t>
      </w:r>
      <w:r>
        <w:rPr>
          <w:rFonts w:hAnsi="宋体"/>
        </w:rPr>
        <w:t>如仍不合格，则代表产品判为不合格。</w:t>
      </w:r>
    </w:p>
    <w:p>
      <w:pPr>
        <w:pStyle w:val="134"/>
        <w:numPr>
          <w:ilvl w:val="0"/>
          <w:numId w:val="2"/>
        </w:numPr>
        <w:spacing w:before="156" w:after="156"/>
        <w:ind w:left="0"/>
      </w:pPr>
      <w:bookmarkStart w:id="258" w:name="_Toc197351972"/>
      <w:r>
        <w:rPr>
          <w:rFonts w:hint="eastAsia"/>
        </w:rPr>
        <w:t>出厂检验内容</w:t>
      </w:r>
      <w:bookmarkEnd w:id="258"/>
    </w:p>
    <w:tbl>
      <w:tblPr>
        <w:tblStyle w:val="30"/>
        <w:tblW w:w="93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2411"/>
        <w:gridCol w:w="2268"/>
        <w:gridCol w:w="1558"/>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tcBorders>
              <w:top w:val="single" w:color="000000" w:sz="12" w:space="0"/>
              <w:left w:val="single" w:color="000000" w:sz="12" w:space="0"/>
              <w:bottom w:val="single" w:color="000000" w:sz="12"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序号</w:t>
            </w:r>
          </w:p>
        </w:tc>
        <w:tc>
          <w:tcPr>
            <w:tcW w:w="2411" w:type="dxa"/>
            <w:tcBorders>
              <w:top w:val="single" w:color="000000" w:sz="12" w:space="0"/>
              <w:left w:val="single" w:color="000000" w:sz="6" w:space="0"/>
              <w:bottom w:val="single" w:color="000000" w:sz="12"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检验内容</w:t>
            </w:r>
          </w:p>
        </w:tc>
        <w:tc>
          <w:tcPr>
            <w:tcW w:w="2268" w:type="dxa"/>
            <w:tcBorders>
              <w:top w:val="single" w:color="000000" w:sz="12" w:space="0"/>
              <w:left w:val="single" w:color="000000" w:sz="6" w:space="0"/>
              <w:bottom w:val="single" w:color="000000" w:sz="12"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技术要求条号</w:t>
            </w:r>
          </w:p>
        </w:tc>
        <w:tc>
          <w:tcPr>
            <w:tcW w:w="1558" w:type="dxa"/>
            <w:tcBorders>
              <w:top w:val="single" w:color="000000" w:sz="12" w:space="0"/>
              <w:left w:val="single" w:color="000000" w:sz="6" w:space="0"/>
              <w:bottom w:val="single" w:color="000000" w:sz="12"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试验方法条号</w:t>
            </w:r>
          </w:p>
        </w:tc>
        <w:tc>
          <w:tcPr>
            <w:tcW w:w="1560" w:type="dxa"/>
            <w:tcBorders>
              <w:top w:val="single" w:color="000000" w:sz="12" w:space="0"/>
              <w:left w:val="single" w:color="000000" w:sz="6" w:space="0"/>
              <w:bottom w:val="single" w:color="000000" w:sz="12" w:space="0"/>
              <w:right w:val="single" w:color="000000" w:sz="12" w:space="0"/>
            </w:tcBorders>
            <w:vAlign w:val="center"/>
          </w:tcPr>
          <w:p>
            <w:pPr>
              <w:jc w:val="center"/>
              <w:rPr>
                <w:rFonts w:hint="eastAsia" w:ascii="宋体" w:hAnsi="宋体" w:cs="Arial"/>
                <w:sz w:val="18"/>
                <w:szCs w:val="18"/>
              </w:rPr>
            </w:pPr>
            <w:r>
              <w:rPr>
                <w:rFonts w:ascii="宋体" w:hAnsi="宋体" w:cs="Arial"/>
                <w:sz w:val="18"/>
                <w:szCs w:val="18"/>
              </w:rPr>
              <w:t>检验方式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1504" w:type="dxa"/>
            <w:tcBorders>
              <w:top w:val="single" w:color="000000" w:sz="12" w:space="0"/>
              <w:left w:val="single" w:color="000000" w:sz="12"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1</w:t>
            </w:r>
          </w:p>
        </w:tc>
        <w:tc>
          <w:tcPr>
            <w:tcW w:w="2411" w:type="dxa"/>
            <w:tcBorders>
              <w:top w:val="single" w:color="000000" w:sz="12" w:space="0"/>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电线束尺寸</w:t>
            </w:r>
          </w:p>
        </w:tc>
        <w:tc>
          <w:tcPr>
            <w:tcW w:w="2268" w:type="dxa"/>
            <w:tcBorders>
              <w:top w:val="single" w:color="000000" w:sz="12"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4.2.1</w:t>
            </w:r>
          </w:p>
          <w:p>
            <w:pPr>
              <w:jc w:val="center"/>
              <w:rPr>
                <w:rFonts w:hint="eastAsia" w:ascii="宋体" w:hAnsi="宋体" w:cs="Arial"/>
                <w:sz w:val="18"/>
                <w:szCs w:val="18"/>
              </w:rPr>
            </w:pPr>
            <w:r>
              <w:rPr>
                <w:rFonts w:ascii="宋体" w:hAnsi="宋体" w:cs="Arial"/>
                <w:sz w:val="18"/>
                <w:szCs w:val="18"/>
              </w:rPr>
              <w:t>4.2.2</w:t>
            </w:r>
          </w:p>
          <w:p>
            <w:pPr>
              <w:jc w:val="center"/>
              <w:rPr>
                <w:rFonts w:hint="eastAsia" w:ascii="宋体" w:hAnsi="宋体" w:cs="Arial"/>
                <w:sz w:val="18"/>
                <w:szCs w:val="18"/>
              </w:rPr>
            </w:pPr>
            <w:r>
              <w:rPr>
                <w:rFonts w:ascii="宋体" w:hAnsi="宋体" w:cs="Arial"/>
                <w:sz w:val="18"/>
                <w:szCs w:val="18"/>
              </w:rPr>
              <w:t>4.2.4</w:t>
            </w:r>
          </w:p>
          <w:p>
            <w:pPr>
              <w:jc w:val="center"/>
              <w:rPr>
                <w:rFonts w:hint="eastAsia" w:ascii="宋体" w:hAnsi="宋体" w:cs="Arial"/>
                <w:sz w:val="18"/>
                <w:szCs w:val="18"/>
              </w:rPr>
            </w:pPr>
            <w:r>
              <w:rPr>
                <w:rFonts w:ascii="宋体" w:hAnsi="宋体" w:cs="Arial"/>
                <w:sz w:val="18"/>
                <w:szCs w:val="18"/>
              </w:rPr>
              <w:t>4.2.5</w:t>
            </w:r>
          </w:p>
        </w:tc>
        <w:tc>
          <w:tcPr>
            <w:tcW w:w="1558" w:type="dxa"/>
            <w:tcBorders>
              <w:top w:val="single" w:color="000000" w:sz="12" w:space="0"/>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5.2</w:t>
            </w:r>
          </w:p>
        </w:tc>
        <w:tc>
          <w:tcPr>
            <w:tcW w:w="1560" w:type="dxa"/>
            <w:vMerge w:val="restart"/>
            <w:tcBorders>
              <w:top w:val="single" w:color="000000" w:sz="12" w:space="0"/>
              <w:left w:val="single" w:color="000000" w:sz="6" w:space="0"/>
              <w:right w:val="single" w:color="000000" w:sz="12" w:space="0"/>
            </w:tcBorders>
            <w:vAlign w:val="center"/>
          </w:tcPr>
          <w:p>
            <w:pPr>
              <w:jc w:val="center"/>
              <w:rPr>
                <w:rFonts w:hint="eastAsia" w:ascii="宋体" w:hAnsi="宋体" w:cs="Arial"/>
                <w:sz w:val="18"/>
                <w:szCs w:val="18"/>
              </w:rPr>
            </w:pPr>
            <w:r>
              <w:rPr>
                <w:rFonts w:ascii="宋体" w:hAnsi="宋体" w:cs="Arial"/>
                <w:sz w:val="18"/>
                <w:szCs w:val="18"/>
              </w:rPr>
              <w:t>全检</w:t>
            </w:r>
            <w:r>
              <w:rPr>
                <w:rFonts w:ascii="宋体" w:hAnsi="宋体" w:cs="Arial"/>
                <w:sz w:val="18"/>
                <w:szCs w:val="18"/>
                <w:vertAlign w:val="superscript"/>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vMerge w:val="restart"/>
            <w:tcBorders>
              <w:top w:val="single" w:color="000000" w:sz="6" w:space="0"/>
              <w:left w:val="single" w:color="000000" w:sz="12"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2</w:t>
            </w:r>
          </w:p>
        </w:tc>
        <w:tc>
          <w:tcPr>
            <w:tcW w:w="2411" w:type="dxa"/>
            <w:vMerge w:val="restart"/>
            <w:tcBorders>
              <w:top w:val="single" w:color="000000" w:sz="6" w:space="0"/>
              <w:left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端子与电线连接 *</w:t>
            </w: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4.4.1</w:t>
            </w:r>
          </w:p>
        </w:tc>
        <w:tc>
          <w:tcPr>
            <w:tcW w:w="1558" w:type="dxa"/>
            <w:vMerge w:val="restart"/>
            <w:tcBorders>
              <w:top w:val="single" w:color="000000" w:sz="6" w:space="0"/>
              <w:left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5.3</w:t>
            </w:r>
          </w:p>
        </w:tc>
        <w:tc>
          <w:tcPr>
            <w:tcW w:w="1560" w:type="dxa"/>
            <w:vMerge w:val="continue"/>
            <w:tcBorders>
              <w:left w:val="single" w:color="000000" w:sz="6" w:space="0"/>
              <w:right w:val="single" w:color="000000" w:sz="12" w:space="0"/>
            </w:tcBorders>
            <w:vAlign w:val="center"/>
          </w:tcPr>
          <w:p>
            <w:pPr>
              <w:jc w:val="cente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vMerge w:val="continue"/>
            <w:tcBorders>
              <w:left w:val="single" w:color="000000" w:sz="12" w:space="0"/>
              <w:right w:val="single" w:color="000000" w:sz="6" w:space="0"/>
            </w:tcBorders>
            <w:vAlign w:val="center"/>
          </w:tcPr>
          <w:p>
            <w:pPr>
              <w:jc w:val="center"/>
              <w:rPr>
                <w:rFonts w:hint="eastAsia" w:ascii="宋体" w:hAnsi="宋体" w:cs="Arial"/>
                <w:sz w:val="18"/>
                <w:szCs w:val="18"/>
              </w:rPr>
            </w:pPr>
          </w:p>
        </w:tc>
        <w:tc>
          <w:tcPr>
            <w:tcW w:w="2411" w:type="dxa"/>
            <w:vMerge w:val="continue"/>
            <w:tcBorders>
              <w:left w:val="single" w:color="000000" w:sz="6" w:space="0"/>
              <w:right w:val="single" w:color="000000" w:sz="6" w:space="0"/>
            </w:tcBorders>
            <w:vAlign w:val="center"/>
          </w:tcPr>
          <w:p>
            <w:pPr>
              <w:jc w:val="center"/>
              <w:rPr>
                <w:rFonts w:hint="eastAsia" w:ascii="宋体" w:hAnsi="宋体" w:cs="Arial"/>
                <w:sz w:val="18"/>
                <w:szCs w:val="18"/>
              </w:rPr>
            </w:pP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4.4.2</w:t>
            </w:r>
          </w:p>
        </w:tc>
        <w:tc>
          <w:tcPr>
            <w:tcW w:w="1558" w:type="dxa"/>
            <w:vMerge w:val="continue"/>
            <w:tcBorders>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p>
        </w:tc>
        <w:tc>
          <w:tcPr>
            <w:tcW w:w="1560" w:type="dxa"/>
            <w:vMerge w:val="continue"/>
            <w:tcBorders>
              <w:left w:val="single" w:color="000000" w:sz="6" w:space="0"/>
              <w:right w:val="single" w:color="000000" w:sz="12" w:space="0"/>
            </w:tcBorders>
            <w:vAlign w:val="center"/>
          </w:tcPr>
          <w:p>
            <w:pPr>
              <w:jc w:val="cente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 w:hRule="atLeast"/>
          <w:jc w:val="center"/>
        </w:trPr>
        <w:tc>
          <w:tcPr>
            <w:tcW w:w="1504" w:type="dxa"/>
            <w:vMerge w:val="continue"/>
            <w:tcBorders>
              <w:left w:val="single" w:color="000000" w:sz="12" w:space="0"/>
              <w:right w:val="single" w:color="000000" w:sz="6" w:space="0"/>
            </w:tcBorders>
            <w:vAlign w:val="center"/>
          </w:tcPr>
          <w:p>
            <w:pPr>
              <w:jc w:val="center"/>
              <w:rPr>
                <w:rFonts w:hint="eastAsia" w:ascii="宋体" w:hAnsi="宋体" w:cs="Arial"/>
                <w:sz w:val="18"/>
                <w:szCs w:val="18"/>
              </w:rPr>
            </w:pPr>
          </w:p>
        </w:tc>
        <w:tc>
          <w:tcPr>
            <w:tcW w:w="2411" w:type="dxa"/>
            <w:vMerge w:val="continue"/>
            <w:tcBorders>
              <w:left w:val="single" w:color="000000" w:sz="6" w:space="0"/>
              <w:right w:val="single" w:color="000000" w:sz="6" w:space="0"/>
            </w:tcBorders>
            <w:vAlign w:val="center"/>
          </w:tcPr>
          <w:p>
            <w:pPr>
              <w:jc w:val="center"/>
              <w:rPr>
                <w:rFonts w:hint="eastAsia" w:ascii="宋体" w:hAnsi="宋体" w:cs="Arial"/>
                <w:sz w:val="18"/>
                <w:szCs w:val="18"/>
              </w:rPr>
            </w:pP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4.4.3</w:t>
            </w:r>
          </w:p>
        </w:tc>
        <w:tc>
          <w:tcPr>
            <w:tcW w:w="1558" w:type="dxa"/>
            <w:tcBorders>
              <w:top w:val="single" w:color="000000" w:sz="6" w:space="0"/>
              <w:left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5.4</w:t>
            </w:r>
          </w:p>
        </w:tc>
        <w:tc>
          <w:tcPr>
            <w:tcW w:w="1560" w:type="dxa"/>
            <w:vMerge w:val="continue"/>
            <w:tcBorders>
              <w:left w:val="single" w:color="000000" w:sz="6" w:space="0"/>
              <w:right w:val="single" w:color="000000" w:sz="12" w:space="0"/>
            </w:tcBorders>
            <w:vAlign w:val="center"/>
          </w:tcPr>
          <w:p>
            <w:pPr>
              <w:jc w:val="cente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 w:hRule="atLeast"/>
          <w:jc w:val="center"/>
        </w:trPr>
        <w:tc>
          <w:tcPr>
            <w:tcW w:w="1504" w:type="dxa"/>
            <w:vMerge w:val="continue"/>
            <w:tcBorders>
              <w:left w:val="single" w:color="000000" w:sz="12" w:space="0"/>
              <w:right w:val="single" w:color="000000" w:sz="6" w:space="0"/>
            </w:tcBorders>
            <w:vAlign w:val="center"/>
          </w:tcPr>
          <w:p>
            <w:pPr>
              <w:jc w:val="center"/>
              <w:rPr>
                <w:rFonts w:hint="eastAsia" w:ascii="宋体" w:hAnsi="宋体" w:cs="Arial"/>
                <w:sz w:val="18"/>
                <w:szCs w:val="18"/>
              </w:rPr>
            </w:pPr>
          </w:p>
        </w:tc>
        <w:tc>
          <w:tcPr>
            <w:tcW w:w="2411" w:type="dxa"/>
            <w:vMerge w:val="continue"/>
            <w:tcBorders>
              <w:left w:val="single" w:color="000000" w:sz="6" w:space="0"/>
              <w:right w:val="single" w:color="000000" w:sz="6" w:space="0"/>
            </w:tcBorders>
            <w:vAlign w:val="center"/>
          </w:tcPr>
          <w:p>
            <w:pPr>
              <w:jc w:val="center"/>
              <w:rPr>
                <w:rFonts w:hint="eastAsia" w:ascii="宋体" w:hAnsi="宋体" w:cs="Arial"/>
                <w:sz w:val="18"/>
                <w:szCs w:val="18"/>
              </w:rPr>
            </w:pP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4.4.4</w:t>
            </w:r>
          </w:p>
        </w:tc>
        <w:tc>
          <w:tcPr>
            <w:tcW w:w="1558" w:type="dxa"/>
            <w:tcBorders>
              <w:left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5.6</w:t>
            </w:r>
          </w:p>
        </w:tc>
        <w:tc>
          <w:tcPr>
            <w:tcW w:w="1560" w:type="dxa"/>
            <w:vMerge w:val="continue"/>
            <w:tcBorders>
              <w:left w:val="single" w:color="000000" w:sz="6" w:space="0"/>
              <w:right w:val="single" w:color="000000" w:sz="12" w:space="0"/>
            </w:tcBorders>
            <w:vAlign w:val="center"/>
          </w:tcPr>
          <w:p>
            <w:pPr>
              <w:jc w:val="cente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 w:hRule="atLeast"/>
          <w:jc w:val="center"/>
        </w:trPr>
        <w:tc>
          <w:tcPr>
            <w:tcW w:w="1504" w:type="dxa"/>
            <w:vMerge w:val="continue"/>
            <w:tcBorders>
              <w:left w:val="single" w:color="000000" w:sz="12" w:space="0"/>
              <w:right w:val="single" w:color="000000" w:sz="6" w:space="0"/>
            </w:tcBorders>
            <w:vAlign w:val="center"/>
          </w:tcPr>
          <w:p>
            <w:pPr>
              <w:jc w:val="center"/>
              <w:rPr>
                <w:rFonts w:hint="eastAsia" w:ascii="宋体" w:hAnsi="宋体" w:cs="Arial"/>
                <w:sz w:val="18"/>
                <w:szCs w:val="18"/>
              </w:rPr>
            </w:pPr>
          </w:p>
        </w:tc>
        <w:tc>
          <w:tcPr>
            <w:tcW w:w="2411" w:type="dxa"/>
            <w:vMerge w:val="continue"/>
            <w:tcBorders>
              <w:left w:val="single" w:color="000000" w:sz="6" w:space="0"/>
              <w:right w:val="single" w:color="000000" w:sz="6" w:space="0"/>
            </w:tcBorders>
            <w:vAlign w:val="center"/>
          </w:tcPr>
          <w:p>
            <w:pPr>
              <w:jc w:val="center"/>
              <w:rPr>
                <w:rFonts w:hint="eastAsia" w:ascii="宋体" w:hAnsi="宋体" w:cs="Arial"/>
                <w:sz w:val="18"/>
                <w:szCs w:val="18"/>
              </w:rPr>
            </w:pP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4.4.6</w:t>
            </w:r>
          </w:p>
        </w:tc>
        <w:tc>
          <w:tcPr>
            <w:tcW w:w="1558" w:type="dxa"/>
            <w:tcBorders>
              <w:left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5.7</w:t>
            </w:r>
          </w:p>
        </w:tc>
        <w:tc>
          <w:tcPr>
            <w:tcW w:w="1560" w:type="dxa"/>
            <w:vMerge w:val="continue"/>
            <w:tcBorders>
              <w:left w:val="single" w:color="000000" w:sz="6" w:space="0"/>
              <w:right w:val="single" w:color="000000" w:sz="12" w:space="0"/>
            </w:tcBorders>
            <w:vAlign w:val="center"/>
          </w:tcPr>
          <w:p>
            <w:pPr>
              <w:jc w:val="cente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 w:hRule="atLeast"/>
          <w:jc w:val="center"/>
        </w:trPr>
        <w:tc>
          <w:tcPr>
            <w:tcW w:w="1504" w:type="dxa"/>
            <w:vMerge w:val="continue"/>
            <w:tcBorders>
              <w:left w:val="single" w:color="000000" w:sz="12" w:space="0"/>
              <w:right w:val="single" w:color="000000" w:sz="6" w:space="0"/>
            </w:tcBorders>
            <w:vAlign w:val="center"/>
          </w:tcPr>
          <w:p>
            <w:pPr>
              <w:jc w:val="center"/>
              <w:rPr>
                <w:rFonts w:hint="eastAsia" w:ascii="宋体" w:hAnsi="宋体" w:cs="Arial"/>
                <w:sz w:val="18"/>
                <w:szCs w:val="18"/>
              </w:rPr>
            </w:pPr>
          </w:p>
        </w:tc>
        <w:tc>
          <w:tcPr>
            <w:tcW w:w="2411" w:type="dxa"/>
            <w:vMerge w:val="continue"/>
            <w:tcBorders>
              <w:left w:val="single" w:color="000000" w:sz="6" w:space="0"/>
              <w:right w:val="single" w:color="000000" w:sz="6" w:space="0"/>
            </w:tcBorders>
            <w:vAlign w:val="center"/>
          </w:tcPr>
          <w:p>
            <w:pPr>
              <w:jc w:val="center"/>
              <w:rPr>
                <w:rFonts w:hint="eastAsia" w:ascii="宋体" w:hAnsi="宋体" w:cs="Arial"/>
                <w:sz w:val="18"/>
                <w:szCs w:val="18"/>
              </w:rPr>
            </w:pP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4.5.3</w:t>
            </w:r>
          </w:p>
        </w:tc>
        <w:tc>
          <w:tcPr>
            <w:tcW w:w="1558" w:type="dxa"/>
            <w:tcBorders>
              <w:left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5.5</w:t>
            </w:r>
          </w:p>
        </w:tc>
        <w:tc>
          <w:tcPr>
            <w:tcW w:w="1560" w:type="dxa"/>
            <w:vMerge w:val="continue"/>
            <w:tcBorders>
              <w:left w:val="single" w:color="000000" w:sz="6" w:space="0"/>
              <w:right w:val="single" w:color="000000" w:sz="12" w:space="0"/>
            </w:tcBorders>
            <w:vAlign w:val="center"/>
          </w:tcPr>
          <w:p>
            <w:pPr>
              <w:jc w:val="cente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 w:hRule="atLeast"/>
          <w:jc w:val="center"/>
        </w:trPr>
        <w:tc>
          <w:tcPr>
            <w:tcW w:w="1504" w:type="dxa"/>
            <w:vMerge w:val="continue"/>
            <w:tcBorders>
              <w:left w:val="single" w:color="000000" w:sz="12" w:space="0"/>
              <w:bottom w:val="single" w:color="000000" w:sz="6" w:space="0"/>
              <w:right w:val="single" w:color="000000" w:sz="6" w:space="0"/>
            </w:tcBorders>
            <w:vAlign w:val="center"/>
          </w:tcPr>
          <w:p>
            <w:pPr>
              <w:jc w:val="center"/>
              <w:rPr>
                <w:rFonts w:hint="eastAsia" w:ascii="宋体" w:hAnsi="宋体" w:cs="Arial"/>
                <w:sz w:val="18"/>
                <w:szCs w:val="18"/>
              </w:rPr>
            </w:pPr>
          </w:p>
        </w:tc>
        <w:tc>
          <w:tcPr>
            <w:tcW w:w="2411" w:type="dxa"/>
            <w:vMerge w:val="continue"/>
            <w:tcBorders>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4.5.4</w:t>
            </w:r>
          </w:p>
        </w:tc>
        <w:tc>
          <w:tcPr>
            <w:tcW w:w="1558" w:type="dxa"/>
            <w:tcBorders>
              <w:left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5.8</w:t>
            </w:r>
          </w:p>
        </w:tc>
        <w:tc>
          <w:tcPr>
            <w:tcW w:w="1560" w:type="dxa"/>
            <w:vMerge w:val="continue"/>
            <w:tcBorders>
              <w:left w:val="single" w:color="000000" w:sz="6" w:space="0"/>
              <w:right w:val="single" w:color="000000" w:sz="12" w:space="0"/>
            </w:tcBorders>
            <w:vAlign w:val="center"/>
          </w:tcPr>
          <w:p>
            <w:pPr>
              <w:jc w:val="cente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3</w:t>
            </w:r>
          </w:p>
        </w:tc>
        <w:tc>
          <w:tcPr>
            <w:tcW w:w="2411"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电线束包扎</w:t>
            </w: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4.7</w:t>
            </w:r>
          </w:p>
          <w:p>
            <w:pPr>
              <w:jc w:val="center"/>
              <w:rPr>
                <w:rFonts w:hint="eastAsia" w:ascii="宋体" w:hAnsi="宋体" w:cs="Arial"/>
                <w:sz w:val="18"/>
                <w:szCs w:val="18"/>
              </w:rPr>
            </w:pPr>
            <w:r>
              <w:rPr>
                <w:rFonts w:ascii="宋体" w:hAnsi="宋体" w:cs="Arial"/>
                <w:sz w:val="18"/>
                <w:szCs w:val="18"/>
              </w:rPr>
              <w:t>4.8</w:t>
            </w:r>
          </w:p>
        </w:tc>
        <w:tc>
          <w:tcPr>
            <w:tcW w:w="1558" w:type="dxa"/>
            <w:tcBorders>
              <w:left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5.3</w:t>
            </w:r>
          </w:p>
        </w:tc>
        <w:tc>
          <w:tcPr>
            <w:tcW w:w="1560" w:type="dxa"/>
            <w:vMerge w:val="continue"/>
            <w:tcBorders>
              <w:left w:val="single" w:color="000000" w:sz="6" w:space="0"/>
              <w:right w:val="single" w:color="000000" w:sz="12" w:space="0"/>
            </w:tcBorders>
            <w:vAlign w:val="center"/>
          </w:tcPr>
          <w:p>
            <w:pPr>
              <w:jc w:val="cente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4</w:t>
            </w:r>
          </w:p>
        </w:tc>
        <w:tc>
          <w:tcPr>
            <w:tcW w:w="2411"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零部件的安装</w:t>
            </w: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4.9</w:t>
            </w:r>
          </w:p>
        </w:tc>
        <w:tc>
          <w:tcPr>
            <w:tcW w:w="1558" w:type="dxa"/>
            <w:tcBorders>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p>
        </w:tc>
        <w:tc>
          <w:tcPr>
            <w:tcW w:w="1560" w:type="dxa"/>
            <w:vMerge w:val="continue"/>
            <w:tcBorders>
              <w:left w:val="single" w:color="000000" w:sz="6" w:space="0"/>
              <w:right w:val="single" w:color="000000" w:sz="12" w:space="0"/>
            </w:tcBorders>
            <w:vAlign w:val="center"/>
          </w:tcPr>
          <w:p>
            <w:pPr>
              <w:jc w:val="cente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w:t>
            </w:r>
          </w:p>
        </w:tc>
        <w:tc>
          <w:tcPr>
            <w:tcW w:w="2411"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接点防水 *</w:t>
            </w: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4.5.4</w:t>
            </w:r>
          </w:p>
        </w:tc>
        <w:tc>
          <w:tcPr>
            <w:tcW w:w="155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5.8</w:t>
            </w:r>
          </w:p>
        </w:tc>
        <w:tc>
          <w:tcPr>
            <w:tcW w:w="1560" w:type="dxa"/>
            <w:vMerge w:val="continue"/>
            <w:tcBorders>
              <w:left w:val="single" w:color="000000" w:sz="6" w:space="0"/>
              <w:right w:val="single" w:color="000000" w:sz="12" w:space="0"/>
            </w:tcBorders>
            <w:vAlign w:val="center"/>
          </w:tcPr>
          <w:p>
            <w:pPr>
              <w:jc w:val="cente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6</w:t>
            </w:r>
          </w:p>
        </w:tc>
        <w:tc>
          <w:tcPr>
            <w:tcW w:w="2411"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线路导通、短路、错路</w:t>
            </w: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4.10</w:t>
            </w:r>
          </w:p>
        </w:tc>
        <w:tc>
          <w:tcPr>
            <w:tcW w:w="155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5.9</w:t>
            </w:r>
          </w:p>
        </w:tc>
        <w:tc>
          <w:tcPr>
            <w:tcW w:w="1560" w:type="dxa"/>
            <w:vMerge w:val="continue"/>
            <w:tcBorders>
              <w:left w:val="single" w:color="000000" w:sz="6" w:space="0"/>
              <w:bottom w:val="single" w:color="000000" w:sz="6" w:space="0"/>
              <w:right w:val="single" w:color="000000" w:sz="12" w:space="0"/>
            </w:tcBorders>
            <w:vAlign w:val="center"/>
          </w:tcPr>
          <w:p>
            <w:pPr>
              <w:jc w:val="cente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7</w:t>
            </w:r>
          </w:p>
        </w:tc>
        <w:tc>
          <w:tcPr>
            <w:tcW w:w="2411"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拉力 *</w:t>
            </w: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trike/>
                <w:sz w:val="18"/>
                <w:szCs w:val="18"/>
              </w:rPr>
            </w:pPr>
            <w:r>
              <w:rPr>
                <w:rFonts w:ascii="宋体" w:hAnsi="宋体" w:cs="Arial"/>
                <w:sz w:val="18"/>
                <w:szCs w:val="18"/>
              </w:rPr>
              <w:t>4.4.5</w:t>
            </w:r>
          </w:p>
        </w:tc>
        <w:tc>
          <w:tcPr>
            <w:tcW w:w="1558" w:type="dxa"/>
            <w:vMerge w:val="restart"/>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5.5</w:t>
            </w:r>
          </w:p>
        </w:tc>
        <w:tc>
          <w:tcPr>
            <w:tcW w:w="1560" w:type="dxa"/>
            <w:vMerge w:val="restart"/>
            <w:tcBorders>
              <w:top w:val="single" w:color="000000" w:sz="6" w:space="0"/>
              <w:left w:val="single" w:color="000000" w:sz="6" w:space="0"/>
              <w:bottom w:val="single" w:color="000000" w:sz="6" w:space="0"/>
              <w:right w:val="single" w:color="000000" w:sz="12" w:space="0"/>
            </w:tcBorders>
            <w:vAlign w:val="center"/>
          </w:tcPr>
          <w:p>
            <w:pPr>
              <w:jc w:val="center"/>
              <w:rPr>
                <w:rFonts w:hint="eastAsia" w:ascii="宋体" w:hAnsi="宋体" w:cs="Arial"/>
                <w:sz w:val="18"/>
                <w:szCs w:val="18"/>
              </w:rPr>
            </w:pPr>
            <w:r>
              <w:rPr>
                <w:rFonts w:ascii="宋体" w:hAnsi="宋体" w:cs="Arial"/>
                <w:sz w:val="18"/>
                <w:szCs w:val="18"/>
              </w:rPr>
              <w:t>抽检</w:t>
            </w:r>
            <w:r>
              <w:rPr>
                <w:rFonts w:ascii="宋体" w:hAnsi="宋体" w:cs="Arial"/>
                <w:sz w:val="18"/>
                <w:szCs w:val="18"/>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tcBorders>
              <w:top w:val="single" w:color="000000" w:sz="6" w:space="0"/>
              <w:left w:val="single" w:color="000000" w:sz="12"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8</w:t>
            </w:r>
          </w:p>
        </w:tc>
        <w:tc>
          <w:tcPr>
            <w:tcW w:w="2411"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接点拉力和撕裂力 *</w:t>
            </w:r>
          </w:p>
        </w:tc>
        <w:tc>
          <w:tcPr>
            <w:tcW w:w="2268" w:type="dxa"/>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r>
              <w:rPr>
                <w:rFonts w:ascii="宋体" w:hAnsi="宋体" w:cs="Arial"/>
                <w:sz w:val="18"/>
                <w:szCs w:val="18"/>
              </w:rPr>
              <w:t>4.5.4</w:t>
            </w:r>
          </w:p>
        </w:tc>
        <w:tc>
          <w:tcPr>
            <w:tcW w:w="1558" w:type="dxa"/>
            <w:vMerge w:val="continue"/>
            <w:tcBorders>
              <w:top w:val="single" w:color="000000" w:sz="6" w:space="0"/>
              <w:left w:val="single" w:color="000000" w:sz="6" w:space="0"/>
              <w:bottom w:val="single" w:color="000000" w:sz="6" w:space="0"/>
              <w:right w:val="single" w:color="000000" w:sz="6" w:space="0"/>
            </w:tcBorders>
          </w:tcPr>
          <w:p>
            <w:pPr>
              <w:jc w:val="center"/>
              <w:rPr>
                <w:rFonts w:hint="eastAsia" w:ascii="宋体" w:hAnsi="宋体" w:cs="Arial"/>
                <w:sz w:val="18"/>
                <w:szCs w:val="18"/>
              </w:rPr>
            </w:pPr>
          </w:p>
        </w:tc>
        <w:tc>
          <w:tcPr>
            <w:tcW w:w="1560" w:type="dxa"/>
            <w:vMerge w:val="continue"/>
            <w:tcBorders>
              <w:top w:val="single" w:color="000000" w:sz="6" w:space="0"/>
              <w:left w:val="single" w:color="000000" w:sz="6" w:space="0"/>
              <w:bottom w:val="single" w:color="000000" w:sz="6" w:space="0"/>
              <w:right w:val="single" w:color="000000" w:sz="12" w:space="0"/>
            </w:tcBorders>
          </w:tcPr>
          <w:p>
            <w:pP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04" w:type="dxa"/>
            <w:tcBorders>
              <w:top w:val="single" w:color="000000" w:sz="6" w:space="0"/>
              <w:left w:val="single" w:color="000000" w:sz="12" w:space="0"/>
              <w:bottom w:val="single" w:color="000000" w:sz="12"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9</w:t>
            </w:r>
          </w:p>
        </w:tc>
        <w:tc>
          <w:tcPr>
            <w:tcW w:w="2411" w:type="dxa"/>
            <w:tcBorders>
              <w:top w:val="single" w:color="000000" w:sz="6" w:space="0"/>
              <w:left w:val="single" w:color="000000" w:sz="6" w:space="0"/>
              <w:bottom w:val="single" w:color="000000" w:sz="12" w:space="0"/>
              <w:right w:val="single" w:color="000000" w:sz="6" w:space="0"/>
            </w:tcBorders>
            <w:vAlign w:val="center"/>
          </w:tcPr>
          <w:p>
            <w:pPr>
              <w:jc w:val="center"/>
              <w:rPr>
                <w:rFonts w:hint="eastAsia" w:ascii="宋体" w:hAnsi="宋体" w:cs="Arial"/>
                <w:sz w:val="18"/>
                <w:szCs w:val="18"/>
              </w:rPr>
            </w:pPr>
            <w:r>
              <w:rPr>
                <w:rFonts w:ascii="宋体" w:hAnsi="宋体" w:cs="Arial"/>
                <w:sz w:val="18"/>
                <w:szCs w:val="18"/>
              </w:rPr>
              <w:t xml:space="preserve">密封塞压接 </w:t>
            </w:r>
            <w:r>
              <w:rPr>
                <w:rFonts w:ascii="宋体" w:hAnsi="宋体" w:cs="Arial"/>
                <w:sz w:val="18"/>
                <w:szCs w:val="18"/>
                <w:shd w:val="clear" w:color="auto" w:fill="FFFFFF"/>
              </w:rPr>
              <w:t>*</w:t>
            </w:r>
          </w:p>
        </w:tc>
        <w:tc>
          <w:tcPr>
            <w:tcW w:w="2268" w:type="dxa"/>
            <w:tcBorders>
              <w:top w:val="single" w:color="000000" w:sz="6" w:space="0"/>
              <w:left w:val="single" w:color="000000" w:sz="6" w:space="0"/>
              <w:bottom w:val="single" w:color="000000" w:sz="12" w:space="0"/>
              <w:right w:val="single" w:color="000000" w:sz="6" w:space="0"/>
            </w:tcBorders>
          </w:tcPr>
          <w:p>
            <w:pPr>
              <w:jc w:val="center"/>
              <w:rPr>
                <w:rFonts w:hint="eastAsia" w:ascii="宋体" w:hAnsi="宋体" w:cs="Arial"/>
                <w:sz w:val="18"/>
                <w:szCs w:val="18"/>
              </w:rPr>
            </w:pPr>
            <w:r>
              <w:rPr>
                <w:rFonts w:ascii="宋体" w:hAnsi="宋体" w:cs="Arial"/>
                <w:sz w:val="18"/>
                <w:szCs w:val="18"/>
              </w:rPr>
              <w:t>4.6</w:t>
            </w:r>
          </w:p>
        </w:tc>
        <w:tc>
          <w:tcPr>
            <w:tcW w:w="1558" w:type="dxa"/>
            <w:tcBorders>
              <w:top w:val="single" w:color="000000" w:sz="6" w:space="0"/>
              <w:left w:val="single" w:color="000000" w:sz="6" w:space="0"/>
              <w:bottom w:val="single" w:color="000000" w:sz="12" w:space="0"/>
              <w:right w:val="single" w:color="000000" w:sz="6" w:space="0"/>
            </w:tcBorders>
          </w:tcPr>
          <w:p>
            <w:pPr>
              <w:jc w:val="center"/>
              <w:rPr>
                <w:rFonts w:hint="eastAsia" w:ascii="宋体" w:hAnsi="宋体" w:cs="Arial"/>
                <w:sz w:val="18"/>
                <w:szCs w:val="18"/>
              </w:rPr>
            </w:pPr>
            <w:r>
              <w:rPr>
                <w:rFonts w:ascii="宋体" w:hAnsi="宋体" w:cs="Arial"/>
                <w:sz w:val="18"/>
                <w:szCs w:val="18"/>
              </w:rPr>
              <w:t>5.3</w:t>
            </w:r>
          </w:p>
        </w:tc>
        <w:tc>
          <w:tcPr>
            <w:tcW w:w="1560" w:type="dxa"/>
            <w:vMerge w:val="continue"/>
            <w:tcBorders>
              <w:top w:val="single" w:color="000000" w:sz="6" w:space="0"/>
              <w:left w:val="single" w:color="000000" w:sz="6" w:space="0"/>
              <w:bottom w:val="single" w:color="000000" w:sz="12" w:space="0"/>
              <w:right w:val="single" w:color="000000" w:sz="12" w:space="0"/>
            </w:tcBorders>
          </w:tcPr>
          <w:p>
            <w:pPr>
              <w:rPr>
                <w:rFonts w:hint="eastAsia" w:ascii="宋体" w:hAnsi="宋体" w:cs="Arial"/>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01" w:type="dxa"/>
            <w:gridSpan w:val="5"/>
            <w:tcBorders>
              <w:top w:val="single" w:color="000000" w:sz="12" w:space="0"/>
              <w:left w:val="single" w:color="000000" w:sz="12" w:space="0"/>
              <w:bottom w:val="single" w:color="000000" w:sz="12" w:space="0"/>
              <w:right w:val="single" w:color="000000" w:sz="12" w:space="0"/>
            </w:tcBorders>
          </w:tcPr>
          <w:p>
            <w:pPr>
              <w:numPr>
                <w:ilvl w:val="0"/>
                <w:numId w:val="36"/>
              </w:numPr>
              <w:jc w:val="left"/>
              <w:rPr>
                <w:rFonts w:hint="eastAsia" w:ascii="宋体" w:hAnsi="宋体" w:cs="Arial"/>
                <w:sz w:val="18"/>
                <w:szCs w:val="18"/>
              </w:rPr>
            </w:pPr>
            <w:r>
              <w:rPr>
                <w:rFonts w:ascii="宋体" w:hAnsi="宋体" w:cs="Arial"/>
                <w:sz w:val="18"/>
                <w:szCs w:val="18"/>
              </w:rPr>
              <w:t xml:space="preserve">有“* ”检验内容在没有特殊要求时宜在生产过程中检验。 </w:t>
            </w:r>
          </w:p>
          <w:p>
            <w:pPr>
              <w:numPr>
                <w:ilvl w:val="0"/>
                <w:numId w:val="36"/>
              </w:numPr>
              <w:jc w:val="left"/>
              <w:rPr>
                <w:rFonts w:hint="eastAsia" w:ascii="宋体" w:hAnsi="宋体" w:cs="Arial"/>
                <w:sz w:val="18"/>
                <w:szCs w:val="18"/>
              </w:rPr>
            </w:pPr>
            <w:r>
              <w:rPr>
                <w:rFonts w:ascii="宋体" w:hAnsi="宋体" w:cs="Arial"/>
                <w:sz w:val="18"/>
                <w:szCs w:val="18"/>
              </w:rPr>
              <w:t>全检项目必须全部合格。</w:t>
            </w:r>
          </w:p>
          <w:p>
            <w:pPr>
              <w:numPr>
                <w:ilvl w:val="0"/>
                <w:numId w:val="36"/>
              </w:numPr>
              <w:jc w:val="left"/>
              <w:rPr>
                <w:rFonts w:hint="eastAsia" w:ascii="宋体" w:hAnsi="宋体" w:cs="Arial"/>
                <w:sz w:val="18"/>
                <w:szCs w:val="18"/>
              </w:rPr>
            </w:pPr>
            <w:r>
              <w:rPr>
                <w:rFonts w:ascii="宋体" w:hAnsi="宋体" w:cs="Arial"/>
                <w:sz w:val="18"/>
                <w:szCs w:val="18"/>
              </w:rPr>
              <w:t>抽检项目按GB/T 2828.1</w:t>
            </w:r>
            <w:r>
              <w:rPr>
                <w:rFonts w:hint="eastAsia" w:ascii="宋体" w:hAnsi="宋体" w:cs="Arial"/>
                <w:sz w:val="18"/>
                <w:szCs w:val="18"/>
              </w:rPr>
              <w:t>的</w:t>
            </w:r>
            <w:r>
              <w:rPr>
                <w:rFonts w:ascii="宋体" w:hAnsi="宋体" w:cs="Arial"/>
                <w:sz w:val="18"/>
                <w:szCs w:val="18"/>
              </w:rPr>
              <w:t>规定，特殊检查水平S—3，合格质量水平AQL1.5，采用一次正常检查抽样方案。</w:t>
            </w:r>
          </w:p>
        </w:tc>
      </w:tr>
    </w:tbl>
    <w:p>
      <w:pPr>
        <w:pStyle w:val="134"/>
        <w:numPr>
          <w:ilvl w:val="0"/>
          <w:numId w:val="2"/>
        </w:numPr>
        <w:spacing w:before="156" w:after="156"/>
        <w:ind w:left="0"/>
      </w:pPr>
      <w:bookmarkStart w:id="259" w:name="_Toc197351973"/>
      <w:r>
        <w:rPr>
          <w:rFonts w:hint="eastAsia"/>
        </w:rPr>
        <w:t>型式检验项目和顺序</w:t>
      </w:r>
      <w:bookmarkEnd w:id="259"/>
    </w:p>
    <w:tbl>
      <w:tblPr>
        <w:tblStyle w:val="30"/>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1590"/>
        <w:gridCol w:w="1134"/>
        <w:gridCol w:w="3119"/>
        <w:gridCol w:w="1701"/>
        <w:gridCol w:w="175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tcBorders>
              <w:bottom w:val="single" w:color="000000" w:sz="12" w:space="0"/>
            </w:tcBorders>
            <w:vAlign w:val="center"/>
          </w:tcPr>
          <w:p>
            <w:pPr>
              <w:jc w:val="center"/>
              <w:rPr>
                <w:rFonts w:hint="eastAsia" w:ascii="宋体" w:hAnsi="宋体" w:cs="Arial"/>
                <w:sz w:val="18"/>
                <w:szCs w:val="18"/>
              </w:rPr>
            </w:pPr>
            <w:r>
              <w:rPr>
                <w:rFonts w:ascii="宋体" w:hAnsi="宋体" w:cs="Arial"/>
                <w:sz w:val="18"/>
                <w:szCs w:val="18"/>
              </w:rPr>
              <w:t>组别</w:t>
            </w:r>
          </w:p>
        </w:tc>
        <w:tc>
          <w:tcPr>
            <w:tcW w:w="1134" w:type="dxa"/>
            <w:tcBorders>
              <w:bottom w:val="single" w:color="000000" w:sz="12" w:space="0"/>
            </w:tcBorders>
            <w:vAlign w:val="center"/>
          </w:tcPr>
          <w:p>
            <w:pPr>
              <w:jc w:val="center"/>
              <w:rPr>
                <w:rFonts w:hint="eastAsia" w:ascii="宋体" w:hAnsi="宋体" w:cs="Arial"/>
                <w:sz w:val="18"/>
                <w:szCs w:val="18"/>
              </w:rPr>
            </w:pPr>
            <w:r>
              <w:rPr>
                <w:rFonts w:ascii="宋体" w:hAnsi="宋体" w:cs="Arial"/>
                <w:sz w:val="18"/>
                <w:szCs w:val="18"/>
              </w:rPr>
              <w:t>检验顺序</w:t>
            </w:r>
          </w:p>
        </w:tc>
        <w:tc>
          <w:tcPr>
            <w:tcW w:w="3119" w:type="dxa"/>
            <w:tcBorders>
              <w:bottom w:val="single" w:color="000000" w:sz="12" w:space="0"/>
            </w:tcBorders>
            <w:vAlign w:val="center"/>
          </w:tcPr>
          <w:p>
            <w:pPr>
              <w:jc w:val="center"/>
              <w:rPr>
                <w:rFonts w:hint="eastAsia" w:ascii="宋体" w:hAnsi="宋体" w:cs="Arial"/>
                <w:sz w:val="18"/>
                <w:szCs w:val="18"/>
              </w:rPr>
            </w:pPr>
            <w:r>
              <w:rPr>
                <w:rFonts w:ascii="宋体" w:hAnsi="宋体" w:cs="Arial"/>
                <w:sz w:val="18"/>
                <w:szCs w:val="18"/>
              </w:rPr>
              <w:t>检验项目</w:t>
            </w:r>
          </w:p>
        </w:tc>
        <w:tc>
          <w:tcPr>
            <w:tcW w:w="1701" w:type="dxa"/>
            <w:tcBorders>
              <w:bottom w:val="single" w:color="000000" w:sz="12" w:space="0"/>
            </w:tcBorders>
            <w:vAlign w:val="center"/>
          </w:tcPr>
          <w:p>
            <w:pPr>
              <w:jc w:val="center"/>
              <w:rPr>
                <w:rFonts w:hint="eastAsia" w:ascii="宋体" w:hAnsi="宋体" w:cs="Arial"/>
                <w:sz w:val="18"/>
                <w:szCs w:val="18"/>
              </w:rPr>
            </w:pPr>
            <w:r>
              <w:rPr>
                <w:rFonts w:ascii="宋体" w:hAnsi="宋体" w:cs="Arial"/>
                <w:sz w:val="18"/>
                <w:szCs w:val="18"/>
              </w:rPr>
              <w:t>技术要求条号</w:t>
            </w:r>
          </w:p>
        </w:tc>
        <w:tc>
          <w:tcPr>
            <w:tcW w:w="1751" w:type="dxa"/>
            <w:tcBorders>
              <w:bottom w:val="single" w:color="000000" w:sz="12" w:space="0"/>
            </w:tcBorders>
            <w:vAlign w:val="center"/>
          </w:tcPr>
          <w:p>
            <w:pPr>
              <w:jc w:val="center"/>
              <w:rPr>
                <w:rFonts w:hint="eastAsia" w:ascii="宋体" w:hAnsi="宋体" w:cs="Arial"/>
                <w:sz w:val="18"/>
                <w:szCs w:val="18"/>
              </w:rPr>
            </w:pPr>
            <w:r>
              <w:rPr>
                <w:rFonts w:ascii="宋体" w:hAnsi="宋体" w:cs="Arial"/>
                <w:sz w:val="18"/>
                <w:szCs w:val="18"/>
              </w:rPr>
              <w:t>试验方法条号</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restart"/>
            <w:tcBorders>
              <w:top w:val="single" w:color="000000" w:sz="12"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1</w:t>
            </w:r>
          </w:p>
        </w:tc>
        <w:tc>
          <w:tcPr>
            <w:tcW w:w="1134" w:type="dxa"/>
            <w:tcBorders>
              <w:top w:val="single" w:color="000000" w:sz="12"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1</w:t>
            </w:r>
          </w:p>
        </w:tc>
        <w:tc>
          <w:tcPr>
            <w:tcW w:w="3119" w:type="dxa"/>
            <w:tcBorders>
              <w:top w:val="single" w:color="000000" w:sz="12"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耐振动性能*</w:t>
            </w:r>
          </w:p>
        </w:tc>
        <w:tc>
          <w:tcPr>
            <w:tcW w:w="1701" w:type="dxa"/>
            <w:tcBorders>
              <w:top w:val="single" w:color="000000" w:sz="12"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4.13</w:t>
            </w:r>
          </w:p>
        </w:tc>
        <w:tc>
          <w:tcPr>
            <w:tcW w:w="1751" w:type="dxa"/>
            <w:tcBorders>
              <w:top w:val="single" w:color="000000" w:sz="12"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5.14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continue"/>
            <w:tcBorders>
              <w:top w:val="single" w:color="000000" w:sz="6" w:space="0"/>
              <w:bottom w:val="single" w:color="000000" w:sz="6" w:space="0"/>
            </w:tcBorders>
            <w:vAlign w:val="center"/>
          </w:tcPr>
          <w:p>
            <w:pPr>
              <w:jc w:val="center"/>
              <w:rPr>
                <w:rFonts w:hint="eastAsia" w:ascii="宋体" w:hAnsi="宋体" w:cs="Arial"/>
                <w:sz w:val="18"/>
                <w:szCs w:val="18"/>
              </w:rPr>
            </w:pPr>
          </w:p>
        </w:tc>
        <w:tc>
          <w:tcPr>
            <w:tcW w:w="1134"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2</w:t>
            </w:r>
          </w:p>
        </w:tc>
        <w:tc>
          <w:tcPr>
            <w:tcW w:w="3119"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耐盐雾性能*</w:t>
            </w:r>
          </w:p>
        </w:tc>
        <w:tc>
          <w:tcPr>
            <w:tcW w:w="170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4.14</w:t>
            </w:r>
          </w:p>
        </w:tc>
        <w:tc>
          <w:tcPr>
            <w:tcW w:w="175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5.15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continue"/>
            <w:tcBorders>
              <w:top w:val="single" w:color="000000" w:sz="6" w:space="0"/>
              <w:bottom w:val="single" w:color="000000" w:sz="6" w:space="0"/>
            </w:tcBorders>
            <w:vAlign w:val="center"/>
          </w:tcPr>
          <w:p>
            <w:pPr>
              <w:jc w:val="center"/>
              <w:rPr>
                <w:rFonts w:hint="eastAsia" w:ascii="宋体" w:hAnsi="宋体" w:cs="Arial"/>
                <w:sz w:val="18"/>
                <w:szCs w:val="18"/>
              </w:rPr>
            </w:pPr>
          </w:p>
        </w:tc>
        <w:tc>
          <w:tcPr>
            <w:tcW w:w="1134"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3</w:t>
            </w:r>
          </w:p>
        </w:tc>
        <w:tc>
          <w:tcPr>
            <w:tcW w:w="3119"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接点间尺寸</w:t>
            </w:r>
          </w:p>
        </w:tc>
        <w:tc>
          <w:tcPr>
            <w:tcW w:w="170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4.2.3</w:t>
            </w:r>
          </w:p>
        </w:tc>
        <w:tc>
          <w:tcPr>
            <w:tcW w:w="175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5.2</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continue"/>
            <w:tcBorders>
              <w:top w:val="single" w:color="000000" w:sz="6" w:space="0"/>
              <w:bottom w:val="single" w:color="000000" w:sz="6" w:space="0"/>
            </w:tcBorders>
            <w:vAlign w:val="center"/>
          </w:tcPr>
          <w:p>
            <w:pPr>
              <w:jc w:val="center"/>
              <w:rPr>
                <w:rFonts w:hint="eastAsia" w:ascii="宋体" w:hAnsi="宋体" w:cs="Arial"/>
                <w:sz w:val="18"/>
                <w:szCs w:val="18"/>
              </w:rPr>
            </w:pPr>
          </w:p>
        </w:tc>
        <w:tc>
          <w:tcPr>
            <w:tcW w:w="1134"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4</w:t>
            </w:r>
          </w:p>
        </w:tc>
        <w:tc>
          <w:tcPr>
            <w:tcW w:w="3119"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压接接点横断面</w:t>
            </w:r>
          </w:p>
        </w:tc>
        <w:tc>
          <w:tcPr>
            <w:tcW w:w="170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4.5.1</w:t>
            </w:r>
          </w:p>
        </w:tc>
        <w:tc>
          <w:tcPr>
            <w:tcW w:w="175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5.6</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continue"/>
            <w:tcBorders>
              <w:top w:val="single" w:color="000000" w:sz="6" w:space="0"/>
              <w:bottom w:val="single" w:color="000000" w:sz="6" w:space="0"/>
            </w:tcBorders>
            <w:vAlign w:val="center"/>
          </w:tcPr>
          <w:p>
            <w:pPr>
              <w:jc w:val="center"/>
              <w:rPr>
                <w:rFonts w:hint="eastAsia" w:ascii="宋体" w:hAnsi="宋体" w:cs="Arial"/>
                <w:sz w:val="18"/>
                <w:szCs w:val="18"/>
              </w:rPr>
            </w:pPr>
          </w:p>
        </w:tc>
        <w:tc>
          <w:tcPr>
            <w:tcW w:w="1134"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5</w:t>
            </w:r>
          </w:p>
        </w:tc>
        <w:tc>
          <w:tcPr>
            <w:tcW w:w="3119"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端子与导体横断面</w:t>
            </w:r>
          </w:p>
        </w:tc>
        <w:tc>
          <w:tcPr>
            <w:tcW w:w="170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4.4.3</w:t>
            </w:r>
          </w:p>
        </w:tc>
        <w:tc>
          <w:tcPr>
            <w:tcW w:w="175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5.6</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restart"/>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2</w:t>
            </w:r>
          </w:p>
        </w:tc>
        <w:tc>
          <w:tcPr>
            <w:tcW w:w="1134"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1</w:t>
            </w:r>
          </w:p>
        </w:tc>
        <w:tc>
          <w:tcPr>
            <w:tcW w:w="3119"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电压降*</w:t>
            </w:r>
          </w:p>
        </w:tc>
        <w:tc>
          <w:tcPr>
            <w:tcW w:w="170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4.4.</w:t>
            </w:r>
            <w:r>
              <w:rPr>
                <w:rFonts w:hint="eastAsia" w:ascii="宋体" w:hAnsi="宋体" w:cs="Arial"/>
                <w:sz w:val="18"/>
                <w:szCs w:val="18"/>
              </w:rPr>
              <w:t>6</w:t>
            </w:r>
          </w:p>
        </w:tc>
        <w:tc>
          <w:tcPr>
            <w:tcW w:w="175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5.7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continue"/>
            <w:tcBorders>
              <w:top w:val="single" w:color="000000" w:sz="6" w:space="0"/>
              <w:bottom w:val="single" w:color="000000" w:sz="6" w:space="0"/>
            </w:tcBorders>
            <w:vAlign w:val="center"/>
          </w:tcPr>
          <w:p>
            <w:pPr>
              <w:jc w:val="center"/>
              <w:rPr>
                <w:rFonts w:hint="eastAsia" w:ascii="宋体" w:hAnsi="宋体" w:cs="Arial"/>
                <w:sz w:val="18"/>
                <w:szCs w:val="18"/>
              </w:rPr>
            </w:pPr>
          </w:p>
        </w:tc>
        <w:tc>
          <w:tcPr>
            <w:tcW w:w="1134"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hint="eastAsia" w:ascii="宋体" w:hAnsi="宋体" w:cs="Arial"/>
                <w:sz w:val="18"/>
                <w:szCs w:val="18"/>
              </w:rPr>
              <w:t>2</w:t>
            </w:r>
          </w:p>
        </w:tc>
        <w:tc>
          <w:tcPr>
            <w:tcW w:w="3119"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hint="eastAsia" w:ascii="宋体" w:hAnsi="宋体" w:cs="Arial"/>
                <w:sz w:val="18"/>
                <w:szCs w:val="18"/>
              </w:rPr>
              <w:t>接触电阻</w:t>
            </w:r>
          </w:p>
        </w:tc>
        <w:tc>
          <w:tcPr>
            <w:tcW w:w="170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hint="eastAsia" w:ascii="宋体" w:hAnsi="宋体" w:cs="Arial"/>
                <w:sz w:val="18"/>
                <w:szCs w:val="18"/>
              </w:rPr>
              <w:t>4.4.7</w:t>
            </w:r>
          </w:p>
        </w:tc>
        <w:tc>
          <w:tcPr>
            <w:tcW w:w="175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hint="eastAsia" w:ascii="宋体" w:hAnsi="宋体" w:cs="Arial"/>
                <w:sz w:val="18"/>
                <w:szCs w:val="18"/>
              </w:rPr>
              <w:t>5.7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continue"/>
            <w:tcBorders>
              <w:top w:val="single" w:color="000000" w:sz="6" w:space="0"/>
              <w:bottom w:val="single" w:color="000000" w:sz="6" w:space="0"/>
            </w:tcBorders>
            <w:vAlign w:val="center"/>
          </w:tcPr>
          <w:p>
            <w:pPr>
              <w:jc w:val="center"/>
              <w:rPr>
                <w:rFonts w:hint="eastAsia" w:ascii="宋体" w:hAnsi="宋体" w:cs="Arial"/>
                <w:sz w:val="18"/>
                <w:szCs w:val="18"/>
              </w:rPr>
            </w:pPr>
          </w:p>
        </w:tc>
        <w:tc>
          <w:tcPr>
            <w:tcW w:w="1134"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hint="eastAsia" w:ascii="宋体" w:hAnsi="宋体" w:cs="Arial"/>
                <w:sz w:val="18"/>
                <w:szCs w:val="18"/>
              </w:rPr>
              <w:t>3</w:t>
            </w:r>
          </w:p>
        </w:tc>
        <w:tc>
          <w:tcPr>
            <w:tcW w:w="3119"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耐工业溶剂性能*</w:t>
            </w:r>
          </w:p>
        </w:tc>
        <w:tc>
          <w:tcPr>
            <w:tcW w:w="170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4.15</w:t>
            </w:r>
          </w:p>
        </w:tc>
        <w:tc>
          <w:tcPr>
            <w:tcW w:w="175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5.16</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restart"/>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3</w:t>
            </w:r>
          </w:p>
        </w:tc>
        <w:tc>
          <w:tcPr>
            <w:tcW w:w="1134"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1</w:t>
            </w:r>
          </w:p>
        </w:tc>
        <w:tc>
          <w:tcPr>
            <w:tcW w:w="3119"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耐低温性能</w:t>
            </w:r>
          </w:p>
        </w:tc>
        <w:tc>
          <w:tcPr>
            <w:tcW w:w="170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4.11.1</w:t>
            </w:r>
          </w:p>
        </w:tc>
        <w:tc>
          <w:tcPr>
            <w:tcW w:w="175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5.10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continue"/>
            <w:tcBorders>
              <w:top w:val="single" w:color="000000" w:sz="6" w:space="0"/>
              <w:bottom w:val="single" w:color="000000" w:sz="6" w:space="0"/>
            </w:tcBorders>
            <w:vAlign w:val="center"/>
          </w:tcPr>
          <w:p>
            <w:pPr>
              <w:jc w:val="center"/>
              <w:rPr>
                <w:rFonts w:hint="eastAsia" w:ascii="宋体" w:hAnsi="宋体" w:cs="Arial"/>
                <w:sz w:val="18"/>
                <w:szCs w:val="18"/>
              </w:rPr>
            </w:pPr>
          </w:p>
        </w:tc>
        <w:tc>
          <w:tcPr>
            <w:tcW w:w="1134"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2</w:t>
            </w:r>
          </w:p>
        </w:tc>
        <w:tc>
          <w:tcPr>
            <w:tcW w:w="3119"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耐高温性能</w:t>
            </w:r>
          </w:p>
        </w:tc>
        <w:tc>
          <w:tcPr>
            <w:tcW w:w="170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4.11.2</w:t>
            </w:r>
          </w:p>
        </w:tc>
        <w:tc>
          <w:tcPr>
            <w:tcW w:w="175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5.11</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continue"/>
            <w:tcBorders>
              <w:top w:val="single" w:color="000000" w:sz="6" w:space="0"/>
              <w:bottom w:val="single" w:color="000000" w:sz="6" w:space="0"/>
            </w:tcBorders>
            <w:vAlign w:val="center"/>
          </w:tcPr>
          <w:p>
            <w:pPr>
              <w:jc w:val="center"/>
              <w:rPr>
                <w:rFonts w:hint="eastAsia" w:ascii="宋体" w:hAnsi="宋体" w:cs="Arial"/>
                <w:sz w:val="18"/>
                <w:szCs w:val="18"/>
              </w:rPr>
            </w:pPr>
          </w:p>
        </w:tc>
        <w:tc>
          <w:tcPr>
            <w:tcW w:w="1134"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3</w:t>
            </w:r>
          </w:p>
        </w:tc>
        <w:tc>
          <w:tcPr>
            <w:tcW w:w="3119"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耐温度变化性能</w:t>
            </w:r>
          </w:p>
        </w:tc>
        <w:tc>
          <w:tcPr>
            <w:tcW w:w="170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4.11.3</w:t>
            </w:r>
          </w:p>
        </w:tc>
        <w:tc>
          <w:tcPr>
            <w:tcW w:w="1751" w:type="dxa"/>
            <w:tcBorders>
              <w:top w:val="single" w:color="000000" w:sz="6" w:space="0"/>
              <w:bottom w:val="single" w:color="000000" w:sz="6" w:space="0"/>
            </w:tcBorders>
            <w:vAlign w:val="center"/>
          </w:tcPr>
          <w:p>
            <w:pPr>
              <w:jc w:val="center"/>
              <w:rPr>
                <w:rFonts w:hint="eastAsia" w:ascii="宋体" w:hAnsi="宋体" w:cs="Arial"/>
                <w:sz w:val="18"/>
                <w:szCs w:val="18"/>
              </w:rPr>
            </w:pPr>
            <w:r>
              <w:rPr>
                <w:rFonts w:ascii="宋体" w:hAnsi="宋体" w:cs="Arial"/>
                <w:sz w:val="18"/>
                <w:szCs w:val="18"/>
              </w:rPr>
              <w:t>5.12</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590" w:type="dxa"/>
            <w:vMerge w:val="continue"/>
            <w:tcBorders>
              <w:top w:val="single" w:color="000000" w:sz="6" w:space="0"/>
              <w:bottom w:val="single" w:color="000000" w:sz="12" w:space="0"/>
            </w:tcBorders>
            <w:vAlign w:val="center"/>
          </w:tcPr>
          <w:p>
            <w:pPr>
              <w:jc w:val="center"/>
              <w:rPr>
                <w:rFonts w:hint="eastAsia" w:ascii="宋体" w:hAnsi="宋体" w:cs="Arial"/>
                <w:sz w:val="18"/>
                <w:szCs w:val="18"/>
              </w:rPr>
            </w:pPr>
          </w:p>
        </w:tc>
        <w:tc>
          <w:tcPr>
            <w:tcW w:w="1134" w:type="dxa"/>
            <w:tcBorders>
              <w:top w:val="single" w:color="000000" w:sz="6" w:space="0"/>
              <w:bottom w:val="single" w:color="000000" w:sz="12" w:space="0"/>
            </w:tcBorders>
            <w:vAlign w:val="center"/>
          </w:tcPr>
          <w:p>
            <w:pPr>
              <w:jc w:val="center"/>
              <w:rPr>
                <w:rFonts w:hint="eastAsia" w:ascii="宋体" w:hAnsi="宋体" w:cs="Arial"/>
                <w:sz w:val="18"/>
                <w:szCs w:val="18"/>
              </w:rPr>
            </w:pPr>
            <w:r>
              <w:rPr>
                <w:rFonts w:ascii="宋体" w:hAnsi="宋体" w:cs="Arial"/>
                <w:sz w:val="18"/>
                <w:szCs w:val="18"/>
              </w:rPr>
              <w:t>4</w:t>
            </w:r>
          </w:p>
        </w:tc>
        <w:tc>
          <w:tcPr>
            <w:tcW w:w="3119" w:type="dxa"/>
            <w:tcBorders>
              <w:top w:val="single" w:color="000000" w:sz="6" w:space="0"/>
              <w:bottom w:val="single" w:color="000000" w:sz="12" w:space="0"/>
            </w:tcBorders>
            <w:vAlign w:val="center"/>
          </w:tcPr>
          <w:p>
            <w:pPr>
              <w:jc w:val="center"/>
              <w:rPr>
                <w:rFonts w:hint="eastAsia" w:ascii="宋体" w:hAnsi="宋体" w:cs="Arial"/>
                <w:sz w:val="18"/>
                <w:szCs w:val="18"/>
              </w:rPr>
            </w:pPr>
            <w:r>
              <w:rPr>
                <w:rFonts w:ascii="宋体" w:hAnsi="宋体" w:cs="Arial"/>
                <w:sz w:val="18"/>
                <w:szCs w:val="18"/>
              </w:rPr>
              <w:t>耐温度、湿度循环变化性能*</w:t>
            </w:r>
          </w:p>
        </w:tc>
        <w:tc>
          <w:tcPr>
            <w:tcW w:w="1701" w:type="dxa"/>
            <w:tcBorders>
              <w:top w:val="single" w:color="000000" w:sz="6" w:space="0"/>
              <w:bottom w:val="single" w:color="000000" w:sz="12" w:space="0"/>
            </w:tcBorders>
            <w:vAlign w:val="center"/>
          </w:tcPr>
          <w:p>
            <w:pPr>
              <w:jc w:val="center"/>
              <w:rPr>
                <w:rFonts w:hint="eastAsia" w:ascii="宋体" w:hAnsi="宋体" w:cs="Arial"/>
                <w:sz w:val="18"/>
                <w:szCs w:val="18"/>
              </w:rPr>
            </w:pPr>
            <w:r>
              <w:rPr>
                <w:rFonts w:ascii="宋体" w:hAnsi="宋体" w:cs="Arial"/>
                <w:sz w:val="18"/>
                <w:szCs w:val="18"/>
              </w:rPr>
              <w:t>4.12</w:t>
            </w:r>
          </w:p>
        </w:tc>
        <w:tc>
          <w:tcPr>
            <w:tcW w:w="1751" w:type="dxa"/>
            <w:tcBorders>
              <w:top w:val="single" w:color="000000" w:sz="6" w:space="0"/>
              <w:bottom w:val="single" w:color="000000" w:sz="12" w:space="0"/>
            </w:tcBorders>
            <w:vAlign w:val="center"/>
          </w:tcPr>
          <w:p>
            <w:pPr>
              <w:jc w:val="center"/>
              <w:rPr>
                <w:rFonts w:hint="eastAsia" w:ascii="宋体" w:hAnsi="宋体" w:cs="Arial"/>
                <w:sz w:val="18"/>
                <w:szCs w:val="18"/>
              </w:rPr>
            </w:pPr>
            <w:r>
              <w:rPr>
                <w:rFonts w:ascii="宋体" w:hAnsi="宋体" w:cs="Arial"/>
                <w:sz w:val="18"/>
                <w:szCs w:val="18"/>
              </w:rPr>
              <w:t>5.13</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295" w:type="dxa"/>
            <w:gridSpan w:val="5"/>
            <w:tcBorders>
              <w:top w:val="single" w:color="000000" w:sz="12" w:space="0"/>
            </w:tcBorders>
          </w:tcPr>
          <w:p>
            <w:pPr>
              <w:rPr>
                <w:rFonts w:hint="eastAsia" w:ascii="宋体" w:hAnsi="宋体" w:cs="Arial"/>
                <w:sz w:val="18"/>
                <w:szCs w:val="18"/>
              </w:rPr>
            </w:pPr>
            <w:r>
              <w:rPr>
                <w:rFonts w:ascii="宋体" w:hAnsi="宋体" w:cs="Arial"/>
                <w:sz w:val="18"/>
                <w:szCs w:val="18"/>
              </w:rPr>
              <w:t xml:space="preserve"> </w:t>
            </w:r>
            <w:r>
              <w:rPr>
                <w:rFonts w:ascii="宋体" w:hAnsi="宋体" w:cs="Arial"/>
                <w:kern w:val="0"/>
                <w:sz w:val="18"/>
                <w:szCs w:val="18"/>
              </w:rPr>
              <w:t>注：</w:t>
            </w:r>
            <w:r>
              <w:rPr>
                <w:rFonts w:ascii="宋体" w:hAnsi="宋体" w:cs="Arial"/>
                <w:sz w:val="18"/>
                <w:szCs w:val="18"/>
              </w:rPr>
              <w:t>带“*”号的项目，在用户有要求时进行检验（新产品除外）。</w:t>
            </w:r>
          </w:p>
        </w:tc>
      </w:tr>
    </w:tbl>
    <w:p>
      <w:pPr>
        <w:pStyle w:val="40"/>
      </w:pPr>
    </w:p>
    <w:p>
      <w:pPr>
        <w:pStyle w:val="181"/>
        <w:rPr>
          <w:rFonts w:ascii="Arial" w:hAnsi="Arial" w:cs="Arial"/>
          <w:szCs w:val="21"/>
        </w:rPr>
      </w:pPr>
      <w:r>
        <w:t>用户有权按GB/T 2828.1的规定进行验收，推荐采用</w:t>
      </w:r>
      <w:r>
        <w:rPr>
          <w:rFonts w:hint="eastAsia"/>
        </w:rPr>
        <w:t>。</w:t>
      </w:r>
    </w:p>
    <w:p>
      <w:pPr>
        <w:pStyle w:val="255"/>
        <w:rPr>
          <w:rFonts w:ascii="Arial" w:hAnsi="Arial" w:cs="Arial"/>
        </w:rPr>
      </w:pPr>
      <w:r>
        <w:t>　　——检查水平：一般检查水平</w:t>
      </w:r>
      <w:r>
        <w:rPr>
          <w:rFonts w:hint="eastAsia" w:hAnsi="宋体" w:cs="宋体"/>
        </w:rPr>
        <w:t>Ⅱ</w:t>
      </w:r>
      <w:r>
        <w:t>；</w:t>
      </w:r>
      <w:r>
        <w:rPr>
          <w:rFonts w:ascii="Arial" w:hAnsi="Arial" w:cs="Arial"/>
        </w:rPr>
        <w:br w:type="textWrapping"/>
      </w:r>
      <w:r>
        <w:t>　　——合格质量水平：AQL为4.0；</w:t>
      </w:r>
      <w:r>
        <w:rPr>
          <w:rFonts w:ascii="Arial" w:hAnsi="Arial" w:cs="Arial"/>
        </w:rPr>
        <w:br w:type="textWrapping"/>
      </w:r>
      <w:r>
        <w:rPr>
          <w:rFonts w:ascii="Arial" w:hAnsi="宋体" w:cs="Arial"/>
        </w:rPr>
        <w:t>　　</w:t>
      </w:r>
      <w:r>
        <w:rPr>
          <w:rFonts w:ascii="Arial" w:hAnsi="Arial" w:cs="Arial"/>
          <w:szCs w:val="20"/>
        </w:rPr>
        <w:t>——</w:t>
      </w:r>
      <w:r>
        <w:rPr>
          <w:rFonts w:ascii="Arial" w:hAnsi="宋体" w:cs="Arial"/>
        </w:rPr>
        <w:t>抽样方案：一次正常检查抽样方案。</w:t>
      </w:r>
    </w:p>
    <w:p>
      <w:pPr>
        <w:pStyle w:val="126"/>
        <w:spacing w:before="312" w:after="312"/>
      </w:pPr>
      <w:bookmarkStart w:id="260" w:name="_Toc323893898"/>
      <w:bookmarkStart w:id="261" w:name="_Toc323740676"/>
      <w:bookmarkStart w:id="262" w:name="_Toc323740740"/>
      <w:bookmarkStart w:id="263" w:name="_Toc323892751"/>
      <w:bookmarkStart w:id="264" w:name="_Toc197519430"/>
      <w:bookmarkStart w:id="265" w:name="_Toc323892896"/>
      <w:bookmarkStart w:id="266" w:name="_Toc323893021"/>
      <w:r>
        <w:t>标志、包装、运输和贮存</w:t>
      </w:r>
      <w:bookmarkEnd w:id="260"/>
      <w:bookmarkEnd w:id="261"/>
      <w:bookmarkEnd w:id="262"/>
      <w:bookmarkEnd w:id="263"/>
      <w:bookmarkEnd w:id="264"/>
      <w:bookmarkEnd w:id="265"/>
      <w:bookmarkEnd w:id="266"/>
    </w:p>
    <w:p>
      <w:pPr>
        <w:pStyle w:val="127"/>
        <w:spacing w:before="156" w:after="156"/>
      </w:pPr>
      <w:bookmarkStart w:id="267" w:name="_Toc323740741"/>
      <w:bookmarkStart w:id="268" w:name="_Toc323892897"/>
      <w:bookmarkStart w:id="269" w:name="_Toc197519431"/>
      <w:bookmarkStart w:id="270" w:name="_Toc323892752"/>
      <w:bookmarkStart w:id="271" w:name="_Toc323893899"/>
      <w:bookmarkStart w:id="272" w:name="_Toc323740677"/>
      <w:bookmarkStart w:id="273" w:name="_Toc323893022"/>
      <w:r>
        <w:t>标志</w:t>
      </w:r>
      <w:bookmarkEnd w:id="267"/>
      <w:bookmarkEnd w:id="268"/>
      <w:bookmarkEnd w:id="269"/>
      <w:bookmarkEnd w:id="270"/>
      <w:bookmarkEnd w:id="271"/>
      <w:bookmarkEnd w:id="272"/>
      <w:bookmarkEnd w:id="273"/>
    </w:p>
    <w:p>
      <w:pPr>
        <w:pStyle w:val="89"/>
        <w:spacing w:before="156" w:after="156"/>
        <w:rPr>
          <w:rFonts w:hAnsi="Arial"/>
        </w:rPr>
      </w:pPr>
      <w:r>
        <w:rPr>
          <w:rFonts w:ascii="宋体" w:eastAsia="宋体"/>
        </w:rPr>
        <w:t>电线束应附有不易脱落的明显标志</w:t>
      </w:r>
      <w:r>
        <w:rPr>
          <w:rFonts w:hint="eastAsia" w:ascii="宋体" w:eastAsia="宋体"/>
        </w:rPr>
        <w:t>，缸内线采用明码标签</w:t>
      </w:r>
      <w:r>
        <w:t>。</w:t>
      </w:r>
    </w:p>
    <w:p>
      <w:pPr>
        <w:pStyle w:val="184"/>
        <w:numPr>
          <w:ilvl w:val="0"/>
          <w:numId w:val="0"/>
        </w:numPr>
        <w:rPr>
          <w:rFonts w:hAnsi="Arial"/>
        </w:rPr>
      </w:pPr>
    </w:p>
    <w:p>
      <w:pPr>
        <w:pStyle w:val="184"/>
        <w:rPr>
          <w:rFonts w:hAnsi="Arial"/>
        </w:rPr>
      </w:pPr>
      <w:r>
        <w:t>产品标志的内容如下</w:t>
      </w:r>
      <w:r>
        <w:rPr>
          <w:rFonts w:hint="eastAsia"/>
        </w:rPr>
        <w:t>。</w:t>
      </w:r>
    </w:p>
    <w:p>
      <w:pPr>
        <w:pStyle w:val="151"/>
      </w:pPr>
      <w:r>
        <w:t>产品名称；</w:t>
      </w:r>
    </w:p>
    <w:p>
      <w:pPr>
        <w:pStyle w:val="151"/>
      </w:pPr>
      <w:r>
        <w:t>型号或适用车型；</w:t>
      </w:r>
    </w:p>
    <w:p>
      <w:pPr>
        <w:pStyle w:val="151"/>
      </w:pPr>
      <w:r>
        <w:t>制造厂或商标；</w:t>
      </w:r>
    </w:p>
    <w:p>
      <w:pPr>
        <w:pStyle w:val="151"/>
      </w:pPr>
      <w:r>
        <w:t>制造日期或代码；</w:t>
      </w:r>
    </w:p>
    <w:p>
      <w:pPr>
        <w:pStyle w:val="151"/>
      </w:pPr>
      <w:r>
        <w:t>用户要求的条形码。</w:t>
      </w:r>
    </w:p>
    <w:p>
      <w:pPr>
        <w:pStyle w:val="151"/>
        <w:numPr>
          <w:ilvl w:val="0"/>
          <w:numId w:val="0"/>
        </w:numPr>
        <w:ind w:left="851"/>
      </w:pPr>
    </w:p>
    <w:p>
      <w:pPr>
        <w:pStyle w:val="127"/>
        <w:spacing w:before="156" w:after="156"/>
      </w:pPr>
      <w:bookmarkStart w:id="274" w:name="_Toc323893023"/>
      <w:bookmarkStart w:id="275" w:name="_Toc197519432"/>
      <w:bookmarkStart w:id="276" w:name="_Toc323892753"/>
      <w:bookmarkStart w:id="277" w:name="_Toc323740678"/>
      <w:bookmarkStart w:id="278" w:name="_Toc323740742"/>
      <w:bookmarkStart w:id="279" w:name="_Toc323893900"/>
      <w:bookmarkStart w:id="280" w:name="_Toc323892898"/>
      <w:r>
        <w:t>包装</w:t>
      </w:r>
      <w:bookmarkEnd w:id="274"/>
      <w:bookmarkEnd w:id="275"/>
      <w:bookmarkEnd w:id="276"/>
      <w:bookmarkEnd w:id="277"/>
      <w:bookmarkEnd w:id="278"/>
      <w:bookmarkEnd w:id="279"/>
      <w:bookmarkEnd w:id="280"/>
    </w:p>
    <w:p>
      <w:pPr>
        <w:pStyle w:val="184"/>
      </w:pPr>
      <w:r>
        <w:rPr>
          <w:rFonts w:hAnsi="宋体"/>
        </w:rPr>
        <w:t>包装按</w:t>
      </w:r>
      <w:r>
        <w:t>QC/</w:t>
      </w:r>
      <w:r>
        <w:rPr>
          <w:color w:val="000000" w:themeColor="text1"/>
          <w14:textFill>
            <w14:solidFill>
              <w14:schemeClr w14:val="tx1"/>
            </w14:solidFill>
          </w14:textFill>
        </w:rPr>
        <w:t>T 413─2002</w:t>
      </w:r>
      <w:r>
        <w:rPr>
          <w:rFonts w:hAnsi="宋体"/>
        </w:rPr>
        <w:t>中</w:t>
      </w:r>
      <w:r>
        <w:t>6.2</w:t>
      </w:r>
      <w:r>
        <w:rPr>
          <w:rFonts w:hAnsi="宋体"/>
        </w:rPr>
        <w:t>的规定进行。</w:t>
      </w:r>
    </w:p>
    <w:p>
      <w:pPr>
        <w:pStyle w:val="184"/>
        <w:numPr>
          <w:ilvl w:val="0"/>
          <w:numId w:val="0"/>
        </w:numPr>
      </w:pPr>
    </w:p>
    <w:p>
      <w:pPr>
        <w:pStyle w:val="184"/>
      </w:pPr>
      <w:r>
        <w:rPr>
          <w:rFonts w:hAnsi="宋体"/>
        </w:rPr>
        <w:t>装箱文件</w:t>
      </w:r>
    </w:p>
    <w:p>
      <w:pPr>
        <w:pStyle w:val="248"/>
        <w:numPr>
          <w:ilvl w:val="0"/>
          <w:numId w:val="37"/>
        </w:numPr>
        <w:tabs>
          <w:tab w:val="left" w:pos="851"/>
        </w:tabs>
        <w:ind w:left="839" w:hanging="419"/>
        <w:rPr>
          <w:rFonts w:ascii="Arial" w:hAnsi="Arial" w:cs="Arial"/>
          <w:szCs w:val="21"/>
        </w:rPr>
      </w:pPr>
      <w:r>
        <w:rPr>
          <w:rFonts w:ascii="Arial" w:hAnsi="宋体" w:cs="Arial"/>
          <w:szCs w:val="21"/>
        </w:rPr>
        <w:t>装箱单；</w:t>
      </w:r>
    </w:p>
    <w:p>
      <w:pPr>
        <w:pStyle w:val="248"/>
        <w:numPr>
          <w:ilvl w:val="0"/>
          <w:numId w:val="37"/>
        </w:numPr>
        <w:tabs>
          <w:tab w:val="left" w:pos="851"/>
        </w:tabs>
        <w:ind w:left="839" w:hanging="419"/>
        <w:rPr>
          <w:rFonts w:ascii="Arial" w:hAnsi="Arial" w:cs="Arial"/>
          <w:szCs w:val="21"/>
        </w:rPr>
      </w:pPr>
      <w:r>
        <w:rPr>
          <w:rFonts w:ascii="Arial" w:hAnsi="宋体" w:cs="Arial"/>
          <w:szCs w:val="21"/>
        </w:rPr>
        <w:t>产品出厂合格证；</w:t>
      </w:r>
    </w:p>
    <w:p>
      <w:pPr>
        <w:pStyle w:val="248"/>
        <w:numPr>
          <w:ilvl w:val="0"/>
          <w:numId w:val="37"/>
        </w:numPr>
        <w:tabs>
          <w:tab w:val="left" w:pos="851"/>
        </w:tabs>
        <w:ind w:left="839" w:hanging="419"/>
        <w:rPr>
          <w:rFonts w:ascii="Arial" w:hAnsi="Arial" w:cs="Arial"/>
          <w:szCs w:val="21"/>
        </w:rPr>
      </w:pPr>
      <w:r>
        <w:rPr>
          <w:rFonts w:ascii="Arial" w:hAnsi="宋体" w:cs="Arial"/>
          <w:szCs w:val="21"/>
        </w:rPr>
        <w:t>用户提出需要的使用维护说明书。</w:t>
      </w:r>
    </w:p>
    <w:p>
      <w:pPr>
        <w:pStyle w:val="248"/>
        <w:tabs>
          <w:tab w:val="left" w:pos="851"/>
          <w:tab w:val="clear" w:pos="840"/>
        </w:tabs>
        <w:ind w:firstLine="0"/>
        <w:rPr>
          <w:rFonts w:ascii="Arial" w:hAnsi="Arial" w:cs="Arial"/>
          <w:szCs w:val="21"/>
        </w:rPr>
      </w:pPr>
    </w:p>
    <w:p>
      <w:pPr>
        <w:pStyle w:val="127"/>
        <w:spacing w:before="156" w:after="156"/>
      </w:pPr>
      <w:bookmarkStart w:id="281" w:name="_Toc323892899"/>
      <w:bookmarkStart w:id="282" w:name="_Toc323740679"/>
      <w:bookmarkStart w:id="283" w:name="_Toc323740743"/>
      <w:bookmarkStart w:id="284" w:name="_Toc323893024"/>
      <w:bookmarkStart w:id="285" w:name="_Toc323892754"/>
      <w:bookmarkStart w:id="286" w:name="_Toc323893901"/>
      <w:bookmarkStart w:id="287" w:name="_Toc197519433"/>
      <w:r>
        <w:t>运输</w:t>
      </w:r>
      <w:bookmarkEnd w:id="281"/>
      <w:bookmarkEnd w:id="282"/>
      <w:bookmarkEnd w:id="283"/>
      <w:bookmarkEnd w:id="284"/>
      <w:bookmarkEnd w:id="285"/>
      <w:bookmarkEnd w:id="286"/>
      <w:bookmarkEnd w:id="287"/>
    </w:p>
    <w:p>
      <w:pPr>
        <w:pStyle w:val="40"/>
        <w:rPr>
          <w:rFonts w:hint="eastAsia" w:ascii="Arial" w:hAnsi="宋体" w:cs="Arial"/>
          <w:szCs w:val="21"/>
        </w:rPr>
      </w:pPr>
      <w:r>
        <w:rPr>
          <w:rFonts w:ascii="Arial" w:hAnsi="宋体" w:cs="Arial"/>
          <w:szCs w:val="21"/>
        </w:rPr>
        <w:t>包装应充分保证产品在运输过程中不受到损伤和受潮。</w:t>
      </w:r>
    </w:p>
    <w:p>
      <w:pPr>
        <w:pStyle w:val="40"/>
        <w:rPr>
          <w:rFonts w:ascii="Arial" w:hAnsi="Arial" w:cs="Arial"/>
          <w:szCs w:val="21"/>
        </w:rPr>
      </w:pPr>
    </w:p>
    <w:p>
      <w:pPr>
        <w:pStyle w:val="127"/>
        <w:spacing w:before="156" w:after="156"/>
      </w:pPr>
      <w:bookmarkStart w:id="288" w:name="_Toc197519434"/>
      <w:bookmarkStart w:id="289" w:name="_Toc323740744"/>
      <w:bookmarkStart w:id="290" w:name="_Toc323892900"/>
      <w:bookmarkStart w:id="291" w:name="_Toc323740680"/>
      <w:bookmarkStart w:id="292" w:name="_Toc323893025"/>
      <w:bookmarkStart w:id="293" w:name="_Toc323892755"/>
      <w:bookmarkStart w:id="294" w:name="_Toc323893902"/>
      <w:r>
        <w:t>贮存</w:t>
      </w:r>
      <w:bookmarkEnd w:id="288"/>
      <w:bookmarkEnd w:id="289"/>
      <w:bookmarkEnd w:id="290"/>
      <w:bookmarkEnd w:id="291"/>
      <w:bookmarkEnd w:id="292"/>
      <w:bookmarkEnd w:id="293"/>
      <w:bookmarkEnd w:id="294"/>
    </w:p>
    <w:p>
      <w:pPr>
        <w:pStyle w:val="80"/>
        <w:ind w:firstLine="420"/>
        <w:rPr>
          <w:rFonts w:hint="eastAsia" w:ascii="Arial" w:hAnsi="宋体" w:cs="Arial"/>
          <w:szCs w:val="21"/>
        </w:rPr>
      </w:pPr>
      <w:r>
        <w:rPr>
          <w:rFonts w:ascii="Arial" w:hAnsi="宋体" w:cs="Arial"/>
          <w:szCs w:val="21"/>
        </w:rPr>
        <w:t>产品的储存和保管应符合</w:t>
      </w:r>
      <w:r>
        <w:rPr>
          <w:rFonts w:ascii="Arial" w:hAnsi="Arial" w:cs="Arial"/>
          <w:szCs w:val="21"/>
        </w:rPr>
        <w:t xml:space="preserve"> QC/T 238 </w:t>
      </w:r>
      <w:r>
        <w:rPr>
          <w:rFonts w:ascii="Arial" w:hAnsi="宋体" w:cs="Arial"/>
          <w:szCs w:val="21"/>
        </w:rPr>
        <w:t>的有关规定</w:t>
      </w:r>
      <w:r>
        <w:rPr>
          <w:rFonts w:hint="eastAsia" w:ascii="Arial" w:hAnsi="宋体" w:cs="Arial"/>
          <w:szCs w:val="21"/>
        </w:rPr>
        <w:t>，</w:t>
      </w:r>
      <w:r>
        <w:rPr>
          <w:rFonts w:ascii="Arial" w:hAnsi="宋体" w:cs="Arial"/>
          <w:szCs w:val="21"/>
        </w:rPr>
        <w:t>产品的储存期通常为</w:t>
      </w:r>
      <w:r>
        <w:rPr>
          <w:rFonts w:ascii="Arial" w:hAnsi="Arial" w:cs="Arial"/>
          <w:szCs w:val="21"/>
        </w:rPr>
        <w:t xml:space="preserve"> 2 </w:t>
      </w:r>
      <w:r>
        <w:rPr>
          <w:rFonts w:ascii="Arial" w:hAnsi="宋体" w:cs="Arial"/>
          <w:szCs w:val="21"/>
        </w:rPr>
        <w:t>年，在储存期满</w:t>
      </w:r>
      <w:r>
        <w:rPr>
          <w:rFonts w:ascii="Arial" w:hAnsi="Arial" w:cs="Arial"/>
          <w:szCs w:val="21"/>
        </w:rPr>
        <w:t xml:space="preserve"> 2 </w:t>
      </w:r>
      <w:r>
        <w:rPr>
          <w:rFonts w:ascii="Arial" w:hAnsi="宋体" w:cs="Arial"/>
          <w:szCs w:val="21"/>
        </w:rPr>
        <w:t>年时，产品仍应符合本标准</w:t>
      </w:r>
      <w:r>
        <w:rPr>
          <w:rFonts w:hint="eastAsia" w:ascii="Arial" w:hAnsi="宋体" w:cs="Arial"/>
          <w:szCs w:val="21"/>
        </w:rPr>
        <w:t>的</w:t>
      </w:r>
      <w:r>
        <w:rPr>
          <w:rFonts w:ascii="Arial" w:hAnsi="宋体" w:cs="Arial"/>
          <w:szCs w:val="21"/>
        </w:rPr>
        <w:t>上述规定。</w:t>
      </w:r>
    </w:p>
    <w:p>
      <w:pPr>
        <w:pStyle w:val="80"/>
        <w:ind w:firstLine="420"/>
        <w:sectPr>
          <w:headerReference r:id="rId9" w:type="default"/>
          <w:footerReference r:id="rId11" w:type="default"/>
          <w:headerReference r:id="rId10" w:type="even"/>
          <w:footerReference r:id="rId12" w:type="even"/>
          <w:pgSz w:w="11906" w:h="16838"/>
          <w:pgMar w:top="1871" w:right="1134" w:bottom="1134" w:left="1134" w:header="1418" w:footer="1134" w:gutter="284"/>
          <w:cols w:space="425" w:num="1"/>
          <w:formProt w:val="0"/>
          <w:docGrid w:type="lines" w:linePitch="312" w:charSpace="0"/>
        </w:sectPr>
      </w:pPr>
    </w:p>
    <w:p>
      <w:pPr>
        <w:pStyle w:val="215"/>
        <w:ind w:left="420"/>
        <w:rPr>
          <w:rFonts w:hint="eastAsia"/>
          <w:vanish w:val="0"/>
        </w:rPr>
      </w:pPr>
      <w:bookmarkStart w:id="295" w:name="BookMark5"/>
    </w:p>
    <w:p>
      <w:pPr>
        <w:pStyle w:val="216"/>
        <w:ind w:left="425"/>
        <w:rPr>
          <w:vanish w:val="0"/>
        </w:rPr>
      </w:pPr>
    </w:p>
    <w:p>
      <w:pPr>
        <w:pStyle w:val="100"/>
        <w:spacing w:before="78" w:after="156"/>
      </w:pPr>
      <w:r>
        <w:br w:type="textWrapping"/>
      </w:r>
      <w:bookmarkStart w:id="296" w:name="_Toc197519435"/>
      <w:r>
        <w:rPr>
          <w:rFonts w:hint="eastAsia"/>
        </w:rPr>
        <w:t>（规范性）</w:t>
      </w:r>
      <w:r>
        <w:br w:type="textWrapping"/>
      </w:r>
      <w:r>
        <w:rPr>
          <w:rFonts w:hint="eastAsia"/>
        </w:rPr>
        <w:t>端子与电线导体压接处和压接接点处横断面的要求</w:t>
      </w:r>
      <w:bookmarkEnd w:id="296"/>
    </w:p>
    <w:p>
      <w:pPr>
        <w:pStyle w:val="102"/>
        <w:spacing w:before="156" w:after="156"/>
      </w:pPr>
      <w:bookmarkStart w:id="297" w:name="_Toc197519436"/>
      <w:r>
        <w:t>横断面要求</w:t>
      </w:r>
      <w:bookmarkEnd w:id="297"/>
    </w:p>
    <w:p>
      <w:pPr>
        <w:pStyle w:val="277"/>
        <w:numPr>
          <w:ilvl w:val="2"/>
          <w:numId w:val="6"/>
        </w:numPr>
        <w:spacing w:before="156" w:after="156"/>
        <w:rPr>
          <w:rFonts w:ascii="Arial" w:hAnsi="Arial" w:cs="Arial"/>
        </w:rPr>
      </w:pPr>
      <w:r>
        <w:rPr>
          <w:rFonts w:ascii="Arial" w:hAnsi="Arial" w:cs="Arial"/>
          <w:kern w:val="2"/>
        </w:rPr>
        <w:t>如图</w:t>
      </w:r>
      <w:r>
        <w:rPr>
          <w:szCs w:val="20"/>
        </w:rPr>
        <w:t xml:space="preserve"> A.1 所示，导体中所有单线的断面应呈不规则多边形，导体与端子相接部位、单线与单线之间应无明显缝隙，</w:t>
      </w:r>
      <w:r>
        <w:rPr>
          <w:rFonts w:ascii="Arial" w:hAnsi="Arial" w:cs="Arial"/>
          <w:kern w:val="2"/>
        </w:rPr>
        <w:t>端子压接部位应包住全部导体，压缩率达到15%</w:t>
      </w:r>
      <w:r>
        <w:rPr>
          <w:rFonts w:ascii="Arial" w:hAnsi="宋体" w:cs="Arial"/>
        </w:rPr>
        <w:t>～</w:t>
      </w:r>
      <w:r>
        <w:rPr>
          <w:rFonts w:ascii="Arial" w:hAnsi="Arial" w:cs="Arial"/>
          <w:kern w:val="2"/>
        </w:rPr>
        <w:t>25%</w:t>
      </w:r>
      <w:r>
        <w:rPr>
          <w:rFonts w:hint="eastAsia" w:ascii="Arial" w:hAnsi="Arial" w:cs="Arial"/>
          <w:kern w:val="2"/>
        </w:rPr>
        <w:t>，</w:t>
      </w:r>
      <w:r>
        <w:rPr>
          <w:rFonts w:ascii="Arial" w:hAnsi="Arial" w:cs="Arial"/>
          <w:kern w:val="2"/>
        </w:rPr>
        <w:t>端子压接的卷曲部分 a、b 必须相接，且对称。</w:t>
      </w:r>
    </w:p>
    <w:p>
      <w:pPr>
        <w:pStyle w:val="274"/>
        <w:ind w:left="363"/>
        <w:rPr>
          <w:rFonts w:ascii="Arial" w:hAnsi="Arial" w:cs="Arial"/>
          <w:kern w:val="2"/>
          <w:sz w:val="21"/>
          <w:szCs w:val="21"/>
        </w:rPr>
      </w:pPr>
      <w:r>
        <w:rPr>
          <w:rFonts w:ascii="Arial" w:hAnsi="Arial" w:cs="Arial"/>
          <w:kern w:val="2"/>
          <w:sz w:val="21"/>
          <w:szCs w:val="21"/>
        </w:rPr>
        <w:t>压缩率=（实际导线截面积-压接后导线截面积）/实际导线截面积x100%。</w:t>
      </w:r>
    </w:p>
    <w:p>
      <w:pPr>
        <w:pStyle w:val="274"/>
        <w:ind w:left="363"/>
        <w:jc w:val="center"/>
        <w:rPr>
          <w:rFonts w:ascii="Arial" w:hAnsi="Arial" w:cs="Arial"/>
          <w:lang w:val="zh-CN"/>
        </w:rPr>
      </w:pPr>
      <w:r>
        <w:rPr>
          <w:rFonts w:ascii="Arial" w:hAnsi="Arial" w:cs="Arial"/>
          <w:lang w:val="zh-CN"/>
        </w:rPr>
        <w:object>
          <v:shape id="_x0000_i1031" o:spt="75" type="#_x0000_t75" style="height:161.25pt;width:213pt;" o:ole="t" filled="f" o:preferrelative="t" stroked="f" coordsize="21600,21600">
            <v:path/>
            <v:fill on="f" focussize="0,0"/>
            <v:stroke on="f" joinstyle="miter"/>
            <v:imagedata r:id="rId40" o:title=""/>
            <o:lock v:ext="edit" aspectratio="t"/>
            <w10:wrap type="none"/>
            <w10:anchorlock/>
          </v:shape>
          <o:OLEObject Type="Embed" ProgID="Picture.PicObj.1" ShapeID="_x0000_i1031" DrawAspect="Content" ObjectID="_1468075731" r:id="rId39">
            <o:LockedField>false</o:LockedField>
          </o:OLEObject>
        </w:object>
      </w:r>
    </w:p>
    <w:p>
      <w:pPr>
        <w:pStyle w:val="107"/>
        <w:spacing w:before="156" w:after="156"/>
        <w:rPr>
          <w:lang w:val="zh-CN"/>
        </w:rPr>
      </w:pPr>
      <w:bookmarkStart w:id="298" w:name="_Toc196816856"/>
      <w:r>
        <w:rPr>
          <w:lang w:val="zh-CN"/>
        </w:rPr>
        <w:t>横断面示意图（1）</w:t>
      </w:r>
      <w:bookmarkEnd w:id="298"/>
    </w:p>
    <w:p>
      <w:pPr>
        <w:pStyle w:val="277"/>
        <w:numPr>
          <w:ilvl w:val="2"/>
          <w:numId w:val="6"/>
        </w:numPr>
        <w:spacing w:before="156" w:after="156"/>
        <w:rPr>
          <w:rFonts w:ascii="Arial" w:hAnsi="Arial" w:cs="Arial"/>
        </w:rPr>
      </w:pPr>
      <w:r>
        <w:rPr>
          <w:rFonts w:ascii="Arial" w:hAnsi="Arial" w:cs="Arial"/>
          <w:kern w:val="2"/>
        </w:rPr>
        <w:t xml:space="preserve">如图 A.2 </w:t>
      </w:r>
      <w:r>
        <w:rPr>
          <w:szCs w:val="20"/>
        </w:rPr>
        <w:t>所示，端子压接卷</w:t>
      </w:r>
      <w:r>
        <w:rPr>
          <w:rFonts w:ascii="Arial" w:hAnsi="Arial" w:cs="Arial"/>
          <w:kern w:val="2"/>
        </w:rPr>
        <w:t xml:space="preserve">曲部分 a、b 端部距底部c的距离 </w:t>
      </w:r>
      <w:r>
        <w:rPr>
          <w:rFonts w:ascii="Arial" w:hAnsi="Arial" w:cs="Arial"/>
          <w:i/>
          <w:kern w:val="2"/>
        </w:rPr>
        <w:t xml:space="preserve">d </w:t>
      </w:r>
      <w:r>
        <w:rPr>
          <w:rFonts w:ascii="Arial" w:hAnsi="Arial" w:cs="Arial"/>
          <w:kern w:val="2"/>
        </w:rPr>
        <w:t>不小于单线标称直径的 1/2。</w:t>
      </w:r>
    </w:p>
    <w:p>
      <w:pPr>
        <w:pStyle w:val="40"/>
        <w:ind w:firstLine="360"/>
        <w:jc w:val="center"/>
        <w:rPr>
          <w:rFonts w:ascii="Arial" w:hAnsi="Arial" w:cs="Arial"/>
          <w:sz w:val="18"/>
          <w:szCs w:val="18"/>
          <w:lang w:val="zh-CN"/>
        </w:rPr>
      </w:pPr>
      <w:r>
        <w:rPr>
          <w:rFonts w:ascii="Arial" w:hAnsi="Arial" w:cs="Arial"/>
          <w:sz w:val="18"/>
          <w:szCs w:val="18"/>
          <w:lang w:val="zh-CN"/>
        </w:rPr>
        <w:object>
          <v:shape id="_x0000_i1032" o:spt="75" type="#_x0000_t75" style="height:166.5pt;width:215.25pt;" o:ole="t" filled="f" o:preferrelative="t" stroked="f" coordsize="21600,21600">
            <v:path/>
            <v:fill on="f" focussize="0,0"/>
            <v:stroke on="f" joinstyle="miter"/>
            <v:imagedata r:id="rId42" o:title=""/>
            <o:lock v:ext="edit" aspectratio="t"/>
            <w10:wrap type="none"/>
            <w10:anchorlock/>
          </v:shape>
          <o:OLEObject Type="Embed" ProgID="Picture.PicObj.1" ShapeID="_x0000_i1032" DrawAspect="Content" ObjectID="_1468075732" r:id="rId41">
            <o:LockedField>false</o:LockedField>
          </o:OLEObject>
        </w:object>
      </w:r>
    </w:p>
    <w:p>
      <w:pPr>
        <w:pStyle w:val="107"/>
        <w:spacing w:before="156" w:after="156"/>
        <w:rPr>
          <w:lang w:val="zh-CN"/>
        </w:rPr>
      </w:pPr>
      <w:bookmarkStart w:id="299" w:name="_Toc196816857"/>
      <w:r>
        <w:rPr>
          <w:lang w:val="zh-CN"/>
        </w:rPr>
        <w:t>横断面示意图（2）</w:t>
      </w:r>
      <w:bookmarkEnd w:id="299"/>
    </w:p>
    <w:p>
      <w:pPr>
        <w:pStyle w:val="277"/>
        <w:numPr>
          <w:ilvl w:val="2"/>
          <w:numId w:val="6"/>
        </w:numPr>
        <w:spacing w:before="156" w:after="156"/>
        <w:rPr>
          <w:rFonts w:ascii="Arial" w:hAnsi="Arial" w:cs="Arial"/>
        </w:rPr>
      </w:pPr>
      <w:r>
        <w:rPr>
          <w:rFonts w:ascii="Arial" w:hAnsi="Arial" w:cs="Arial"/>
          <w:kern w:val="2"/>
        </w:rPr>
        <w:t xml:space="preserve">如图 A.3 所示，横断面底部两侧的毛刺高e应不超过端子压接后的厚度 </w:t>
      </w:r>
      <w:r>
        <w:rPr>
          <w:rFonts w:ascii="Arial" w:hAnsi="Arial" w:cs="Arial"/>
          <w:i/>
          <w:kern w:val="2"/>
        </w:rPr>
        <w:t>g</w:t>
      </w:r>
      <w:r>
        <w:rPr>
          <w:rFonts w:ascii="Arial" w:hAnsi="Arial" w:cs="Arial"/>
          <w:kern w:val="2"/>
        </w:rPr>
        <w:t xml:space="preserve">，毛刺宽度f应不超过 </w:t>
      </w:r>
      <w:r>
        <w:rPr>
          <w:rFonts w:ascii="Arial" w:hAnsi="Arial" w:cs="Arial"/>
          <w:i/>
          <w:kern w:val="2"/>
        </w:rPr>
        <w:t xml:space="preserve">g </w:t>
      </w:r>
      <w:r>
        <w:rPr>
          <w:rFonts w:ascii="Arial" w:hAnsi="Arial" w:cs="Arial"/>
          <w:kern w:val="2"/>
        </w:rPr>
        <w:t>的 1/2。</w:t>
      </w:r>
    </w:p>
    <w:p>
      <w:pPr>
        <w:pStyle w:val="40"/>
        <w:jc w:val="center"/>
        <w:rPr>
          <w:lang w:val="zh-CN"/>
        </w:rPr>
      </w:pPr>
      <w:r>
        <w:rPr>
          <w:lang w:val="zh-CN"/>
        </w:rPr>
        <w:object>
          <v:shape id="_x0000_i1033" o:spt="75" type="#_x0000_t75" style="height:147pt;width:226.5pt;" o:ole="t" filled="f" o:preferrelative="t" stroked="f" coordsize="21600,21600">
            <v:path/>
            <v:fill on="f" focussize="0,0"/>
            <v:stroke on="f" joinstyle="miter"/>
            <v:imagedata r:id="rId44" o:title=""/>
            <o:lock v:ext="edit" aspectratio="t"/>
            <w10:wrap type="none"/>
            <w10:anchorlock/>
          </v:shape>
          <o:OLEObject Type="Embed" ProgID="Picture.PicObj.1" ShapeID="_x0000_i1033" DrawAspect="Content" ObjectID="_1468075733" r:id="rId43">
            <o:LockedField>false</o:LockedField>
          </o:OLEObject>
        </w:object>
      </w:r>
    </w:p>
    <w:p>
      <w:pPr>
        <w:pStyle w:val="107"/>
        <w:spacing w:before="156" w:after="156"/>
        <w:rPr>
          <w:lang w:val="zh-CN"/>
        </w:rPr>
      </w:pPr>
      <w:bookmarkStart w:id="300" w:name="_Toc196816858"/>
      <w:r>
        <w:rPr>
          <w:lang w:val="zh-CN"/>
        </w:rPr>
        <w:t>横断面示意图（3）</w:t>
      </w:r>
      <w:bookmarkEnd w:id="300"/>
    </w:p>
    <w:p>
      <w:pPr>
        <w:pStyle w:val="102"/>
        <w:spacing w:before="156" w:after="156"/>
      </w:pPr>
      <w:bookmarkStart w:id="301" w:name="_Toc197519437"/>
      <w:r>
        <w:t>横断面不允许存在的缺陷</w:t>
      </w:r>
      <w:bookmarkEnd w:id="301"/>
    </w:p>
    <w:p>
      <w:pPr>
        <w:pStyle w:val="229"/>
      </w:pPr>
      <w:r>
        <w:t>如图 A.4 所示，端子卷曲部分 a、b 之间有缝隙。</w:t>
      </w:r>
    </w:p>
    <w:p>
      <w:pPr>
        <w:pStyle w:val="229"/>
      </w:pPr>
      <w:r>
        <w:t>如图 A.5 所示，端子卷曲 a 或 b 的端部与端子其他部位相接。</w:t>
      </w:r>
    </w:p>
    <w:p>
      <w:pPr>
        <w:pStyle w:val="40"/>
        <w:jc w:val="center"/>
        <w:rPr>
          <w:lang w:val="zh-CN"/>
        </w:rPr>
      </w:pPr>
      <w:r>
        <w:rPr>
          <w:lang w:val="zh-CN"/>
        </w:rPr>
        <w:object>
          <v:shape id="_x0000_i1034" o:spt="75" type="#_x0000_t75" style="height:148.5pt;width:223.5pt;" o:ole="t" filled="f" o:preferrelative="t" stroked="f" coordsize="21600,21600">
            <v:path/>
            <v:fill on="f" focussize="0,0"/>
            <v:stroke on="f" joinstyle="miter"/>
            <v:imagedata r:id="rId46" o:title=""/>
            <o:lock v:ext="edit" aspectratio="t"/>
            <w10:wrap type="none"/>
            <w10:anchorlock/>
          </v:shape>
          <o:OLEObject Type="Embed" ProgID="Picture.PicObj.1" ShapeID="_x0000_i1034" DrawAspect="Content" ObjectID="_1468075734" r:id="rId45">
            <o:LockedField>false</o:LockedField>
          </o:OLEObject>
        </w:object>
      </w:r>
    </w:p>
    <w:p>
      <w:pPr>
        <w:pStyle w:val="107"/>
        <w:spacing w:before="156" w:after="156"/>
      </w:pPr>
      <w:bookmarkStart w:id="302" w:name="_Toc196816859"/>
      <w:r>
        <w:rPr>
          <w:lang w:val="zh-CN"/>
        </w:rPr>
        <w:t>横断面示意图（4）</w:t>
      </w:r>
      <w:bookmarkEnd w:id="302"/>
    </w:p>
    <w:p>
      <w:pPr>
        <w:pStyle w:val="40"/>
        <w:ind w:firstLine="360"/>
        <w:jc w:val="center"/>
        <w:rPr>
          <w:rFonts w:ascii="Arial" w:hAnsi="Arial" w:cs="Arial"/>
          <w:sz w:val="18"/>
          <w:szCs w:val="18"/>
          <w:lang w:val="zh-CN"/>
        </w:rPr>
      </w:pPr>
      <w:r>
        <w:rPr>
          <w:rFonts w:ascii="Arial" w:hAnsi="Arial" w:cs="Arial"/>
          <w:sz w:val="18"/>
          <w:szCs w:val="18"/>
          <w:lang w:val="zh-CN"/>
        </w:rPr>
        <w:object>
          <v:shape id="_x0000_i1035" o:spt="75" type="#_x0000_t75" style="height:173.25pt;width:228pt;" o:ole="t" filled="f" o:preferrelative="t" stroked="f" coordsize="21600,21600">
            <v:path/>
            <v:fill on="f" focussize="0,0"/>
            <v:stroke on="f" joinstyle="miter"/>
            <v:imagedata r:id="rId48" o:title=""/>
            <o:lock v:ext="edit" aspectratio="t"/>
            <w10:wrap type="none"/>
            <w10:anchorlock/>
          </v:shape>
          <o:OLEObject Type="Embed" ProgID="Picture.PicObj.1" ShapeID="_x0000_i1035" DrawAspect="Content" ObjectID="_1468075735" r:id="rId47">
            <o:LockedField>false</o:LockedField>
          </o:OLEObject>
        </w:object>
      </w:r>
    </w:p>
    <w:p>
      <w:pPr>
        <w:pStyle w:val="107"/>
        <w:spacing w:before="156" w:after="156"/>
      </w:pPr>
      <w:bookmarkStart w:id="303" w:name="_Toc196816860"/>
      <w:r>
        <w:rPr>
          <w:lang w:val="zh-CN"/>
        </w:rPr>
        <w:t>横断面示意图（5）</w:t>
      </w:r>
      <w:bookmarkEnd w:id="303"/>
    </w:p>
    <w:p>
      <w:pPr>
        <w:pStyle w:val="229"/>
        <w:rPr>
          <w:rFonts w:ascii="Arial" w:hAnsi="Arial" w:cs="Arial"/>
        </w:rPr>
      </w:pPr>
      <w:r>
        <w:rPr>
          <w:rFonts w:ascii="Arial" w:hAnsi="Arial" w:cs="Arial"/>
          <w:kern w:val="2"/>
        </w:rPr>
        <w:t xml:space="preserve">如图 A.6 </w:t>
      </w:r>
      <w:r>
        <w:t>所示，横断面上端子压接部位出现裂纹 h。</w:t>
      </w:r>
    </w:p>
    <w:p>
      <w:pPr>
        <w:pStyle w:val="276"/>
        <w:numPr>
          <w:ilvl w:val="0"/>
          <w:numId w:val="0"/>
        </w:numPr>
        <w:spacing w:before="156" w:after="156"/>
        <w:rPr>
          <w:rFonts w:ascii="Arial" w:hAnsi="Arial" w:cs="Arial"/>
          <w:lang w:val="zh-CN"/>
        </w:rPr>
      </w:pPr>
      <w:r>
        <w:rPr>
          <w:rFonts w:ascii="Arial" w:hAnsi="Arial" w:cs="Arial"/>
          <w:lang w:val="zh-CN"/>
        </w:rPr>
        <w:object>
          <v:shape id="_x0000_i1036" o:spt="75" type="#_x0000_t75" style="height:129.75pt;width:200.25pt;" o:ole="t" filled="f" o:preferrelative="t" stroked="f" coordsize="21600,21600">
            <v:path/>
            <v:fill on="f" focussize="0,0"/>
            <v:stroke on="f" joinstyle="miter"/>
            <v:imagedata r:id="rId50" o:title=""/>
            <o:lock v:ext="edit" aspectratio="t"/>
            <w10:wrap type="none"/>
            <w10:anchorlock/>
          </v:shape>
          <o:OLEObject Type="Embed" ProgID="Picture.PicObj.1" ShapeID="_x0000_i1036" DrawAspect="Content" ObjectID="_1468075736" r:id="rId49">
            <o:LockedField>false</o:LockedField>
          </o:OLEObject>
        </w:object>
      </w:r>
    </w:p>
    <w:p>
      <w:pPr>
        <w:pStyle w:val="107"/>
        <w:spacing w:before="156" w:after="156"/>
        <w:rPr>
          <w:lang w:val="zh-CN"/>
        </w:rPr>
      </w:pPr>
      <w:bookmarkStart w:id="304" w:name="_Toc196816861"/>
      <w:r>
        <w:rPr>
          <w:lang w:val="zh-CN"/>
        </w:rPr>
        <w:t>横断面示意图（6）</w:t>
      </w:r>
      <w:bookmarkEnd w:id="304"/>
    </w:p>
    <w:bookmarkEnd w:id="295"/>
    <w:p>
      <w:pPr>
        <w:pStyle w:val="80"/>
        <w:ind w:firstLine="0" w:firstLineChars="0"/>
        <w:jc w:val="center"/>
      </w:pPr>
      <w:bookmarkStart w:id="305" w:name="BookMark8"/>
      <w:r>
        <w:drawing>
          <wp:inline distT="0" distB="0" distL="0" distR="0">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51" cstate="print"/>
                    <a:stretch>
                      <a:fillRect/>
                    </a:stretch>
                  </pic:blipFill>
                  <pic:spPr>
                    <a:xfrm>
                      <a:off x="0" y="0"/>
                      <a:ext cx="1485900" cy="317500"/>
                    </a:xfrm>
                    <a:prstGeom prst="rect">
                      <a:avLst/>
                    </a:prstGeom>
                  </pic:spPr>
                </pic:pic>
              </a:graphicData>
            </a:graphic>
          </wp:inline>
        </w:drawing>
      </w:r>
      <w:bookmarkEnd w:id="305"/>
    </w:p>
    <w:p>
      <w:pPr>
        <w:pStyle w:val="53"/>
      </w:pPr>
    </w:p>
    <w:sectPr>
      <w:headerReference r:id="rId13" w:type="default"/>
      <w:footerReference r:id="rId15" w:type="default"/>
      <w:headerReference r:id="rId14" w:type="even"/>
      <w:footerReference r:id="rId16" w:type="even"/>
      <w:pgSz w:w="11906" w:h="16838"/>
      <w:pgMar w:top="1871"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3235225"/>
      <w:docPartObj>
        <w:docPartGallery w:val="autotext"/>
      </w:docPartObj>
    </w:sdtPr>
    <w:sdtContent>
      <w:p>
        <w:pPr>
          <w:pStyle w:val="18"/>
          <w:jc w:val="center"/>
          <w:rPr>
            <w:rFonts w:hint="eastAsia"/>
          </w:rPr>
        </w:pPr>
        <w:r>
          <w:fldChar w:fldCharType="begin"/>
        </w:r>
        <w:r>
          <w:instrText xml:space="preserve">PAGE   \* MERGEFORMAT</w:instrText>
        </w:r>
        <w:r>
          <w:fldChar w:fldCharType="separate"/>
        </w:r>
        <w:r>
          <w:rPr>
            <w:lang w:val="zh-CN"/>
          </w:rPr>
          <w:t>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6"/>
    </w:pPr>
    <w:r>
      <w:fldChar w:fldCharType="begin"/>
    </w:r>
    <w:r>
      <w:instrText xml:space="preserve">PAGE   \* MERGEFORMAT</w:instrText>
    </w:r>
    <w:r>
      <w:fldChar w:fldCharType="separate"/>
    </w:r>
    <w:r>
      <w:rPr>
        <w:lang w:val="zh-CN"/>
      </w:rPr>
      <w:t>7</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5"/>
    </w:pPr>
    <w:r>
      <w:fldChar w:fldCharType="begin"/>
    </w:r>
    <w:r>
      <w:instrText xml:space="preserve">PAGE   \* MERGEFORMAT</w:instrText>
    </w:r>
    <w:r>
      <w:fldChar w:fldCharType="separate"/>
    </w:r>
    <w:r>
      <w:rPr>
        <w:lang w:val="zh-CN"/>
      </w:rP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6"/>
    </w:pPr>
    <w:r>
      <w:fldChar w:fldCharType="begin"/>
    </w:r>
    <w:r>
      <w:instrText xml:space="preserve">PAGE   \* MERGEFORMAT</w:instrText>
    </w:r>
    <w:r>
      <w:fldChar w:fldCharType="separate"/>
    </w:r>
    <w:r>
      <w:rPr>
        <w:lang w:val="zh-CN"/>
      </w:rPr>
      <w:t>26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5"/>
    </w:pPr>
    <w:r>
      <w:fldChar w:fldCharType="begin"/>
    </w:r>
    <w:r>
      <w:instrText xml:space="preserve">PAGE   \* MERGEFORMAT</w:instrText>
    </w:r>
    <w:r>
      <w:fldChar w:fldCharType="separate"/>
    </w:r>
    <w:r>
      <w:rPr>
        <w:lang w:val="zh-CN"/>
      </w:rPr>
      <w:t>22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ind w:firstLine="460"/>
      <w:rPr>
        <w:rFonts w:hint="eastAsia" w:ascii="微软雅黑" w:hAnsi="微软雅黑"/>
        <w:color w:val="414141"/>
        <w:sz w:val="23"/>
        <w:szCs w:val="23"/>
      </w:rPr>
    </w:pPr>
    <w:bookmarkStart w:id="306" w:name="_Hlk103243864"/>
    <w:bookmarkStart w:id="307" w:name="_Hlk103243429"/>
    <w:bookmarkStart w:id="308" w:name="_Hlk103243430"/>
    <w:bookmarkStart w:id="309" w:name="_Hlk103243863"/>
    <w:r>
      <w:rPr>
        <w:rFonts w:ascii="微软雅黑" w:hAnsi="微软雅黑"/>
        <w:color w:val="414141"/>
        <w:sz w:val="23"/>
        <w:szCs w:val="23"/>
      </w:rPr>
      <w:t>T/C</w:t>
    </w:r>
    <w:r>
      <w:rPr>
        <w:rFonts w:hint="eastAsia" w:ascii="微软雅黑" w:hAnsi="微软雅黑"/>
        <w:color w:val="414141"/>
        <w:sz w:val="23"/>
        <w:szCs w:val="23"/>
      </w:rPr>
      <w:t>SICE XXX-XXX</w:t>
    </w:r>
    <w:bookmarkEnd w:id="306"/>
    <w:bookmarkEnd w:id="307"/>
    <w:bookmarkEnd w:id="308"/>
    <w:bookmarkEnd w:id="30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rPr>
        <w:rFonts w:hint="eastAsia"/>
        <w:color w:val="FFFFFF" w:themeColor="background1"/>
        <w14:textFill>
          <w14:solidFill>
            <w14:schemeClr w14:val="bg1"/>
          </w14:solidFill>
        </w14:textFil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5"/>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6"/>
      <w:rPr>
        <w:rFonts w:hint="eastAsia"/>
      </w:rPr>
    </w:pPr>
    <w:r>
      <w:fldChar w:fldCharType="begin"/>
    </w:r>
    <w:r>
      <w:instrText xml:space="preserve"> STYLEREF  标准文件_文件编号 \* MERGEFORMAT </w:instrText>
    </w:r>
    <w:r>
      <w:fldChar w:fldCharType="separate"/>
    </w:r>
    <w:r>
      <w:rPr>
        <w:b/>
      </w:rPr>
      <w:t>错误！文档中没有指定样式的文字。</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5"/>
      <w:rPr>
        <w:rFonts w:hint="eastAsi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6"/>
      <w:rPr>
        <w:rFonts w:hint="eastAsia"/>
      </w:rPr>
    </w:pPr>
    <w:r>
      <w:fldChar w:fldCharType="begin"/>
    </w:r>
    <w:r>
      <w:instrText xml:space="preserve"> STYLEREF  标准文件_文件编号 \* MERGEFORMAT </w:instrText>
    </w:r>
    <w:r>
      <w:fldChar w:fldCharType="separate"/>
    </w:r>
    <w:r>
      <w:rPr>
        <w:b/>
      </w:rPr>
      <w:t>错误！文档中没有指定样式的文字。</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88"/>
      <w:lvlText w:val="[%1]"/>
      <w:lvlJc w:val="left"/>
      <w:pPr>
        <w:tabs>
          <w:tab w:val="left" w:pos="5473"/>
        </w:tabs>
        <w:ind w:left="5473" w:hanging="648"/>
      </w:pPr>
    </w:lvl>
    <w:lvl w:ilvl="1" w:tentative="0">
      <w:start w:val="1"/>
      <w:numFmt w:val="lowerLetter"/>
      <w:lvlText w:val="%2)"/>
      <w:lvlJc w:val="left"/>
      <w:pPr>
        <w:tabs>
          <w:tab w:val="left" w:pos="5665"/>
        </w:tabs>
        <w:ind w:left="5665" w:hanging="420"/>
      </w:pPr>
    </w:lvl>
    <w:lvl w:ilvl="2" w:tentative="0">
      <w:start w:val="1"/>
      <w:numFmt w:val="lowerRoman"/>
      <w:lvlText w:val="%3."/>
      <w:lvlJc w:val="right"/>
      <w:pPr>
        <w:tabs>
          <w:tab w:val="left" w:pos="6085"/>
        </w:tabs>
        <w:ind w:left="6085" w:hanging="420"/>
      </w:pPr>
    </w:lvl>
    <w:lvl w:ilvl="3" w:tentative="0">
      <w:start w:val="1"/>
      <w:numFmt w:val="decimal"/>
      <w:lvlText w:val="%4."/>
      <w:lvlJc w:val="left"/>
      <w:pPr>
        <w:tabs>
          <w:tab w:val="left" w:pos="6505"/>
        </w:tabs>
        <w:ind w:left="6505" w:hanging="420"/>
      </w:pPr>
    </w:lvl>
    <w:lvl w:ilvl="4" w:tentative="0">
      <w:start w:val="1"/>
      <w:numFmt w:val="lowerLetter"/>
      <w:lvlText w:val="%5)"/>
      <w:lvlJc w:val="left"/>
      <w:pPr>
        <w:tabs>
          <w:tab w:val="left" w:pos="6925"/>
        </w:tabs>
        <w:ind w:left="6925" w:hanging="420"/>
      </w:pPr>
    </w:lvl>
    <w:lvl w:ilvl="5" w:tentative="0">
      <w:start w:val="1"/>
      <w:numFmt w:val="lowerRoman"/>
      <w:lvlText w:val="%6."/>
      <w:lvlJc w:val="right"/>
      <w:pPr>
        <w:tabs>
          <w:tab w:val="left" w:pos="7345"/>
        </w:tabs>
        <w:ind w:left="7345" w:hanging="420"/>
      </w:pPr>
    </w:lvl>
    <w:lvl w:ilvl="6" w:tentative="0">
      <w:start w:val="1"/>
      <w:numFmt w:val="decimal"/>
      <w:lvlText w:val="%7."/>
      <w:lvlJc w:val="left"/>
      <w:pPr>
        <w:tabs>
          <w:tab w:val="left" w:pos="7765"/>
        </w:tabs>
        <w:ind w:left="7765" w:hanging="420"/>
      </w:pPr>
    </w:lvl>
    <w:lvl w:ilvl="7" w:tentative="0">
      <w:start w:val="1"/>
      <w:numFmt w:val="lowerLetter"/>
      <w:lvlText w:val="%8)"/>
      <w:lvlJc w:val="left"/>
      <w:pPr>
        <w:tabs>
          <w:tab w:val="left" w:pos="8185"/>
        </w:tabs>
        <w:ind w:left="8185" w:hanging="420"/>
      </w:pPr>
    </w:lvl>
    <w:lvl w:ilvl="8" w:tentative="0">
      <w:start w:val="1"/>
      <w:numFmt w:val="lowerRoman"/>
      <w:lvlText w:val="%9."/>
      <w:lvlJc w:val="right"/>
      <w:pPr>
        <w:tabs>
          <w:tab w:val="left" w:pos="8605"/>
        </w:tabs>
        <w:ind w:left="8605"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78"/>
      <w:suff w:val="nothing"/>
      <w:lvlText w:val="%1%2.%3　"/>
      <w:lvlJc w:val="left"/>
      <w:pPr>
        <w:ind w:left="0" w:firstLine="0"/>
      </w:pPr>
    </w:lvl>
    <w:lvl w:ilvl="3" w:tentative="0">
      <w:start w:val="1"/>
      <w:numFmt w:val="decimal"/>
      <w:pStyle w:val="140"/>
      <w:suff w:val="nothing"/>
      <w:lvlText w:val="%1%2.%3.%4　"/>
      <w:lvlJc w:val="left"/>
      <w:pPr>
        <w:ind w:left="0" w:firstLine="0"/>
      </w:pPr>
    </w:lvl>
    <w:lvl w:ilvl="4" w:tentative="0">
      <w:start w:val="1"/>
      <w:numFmt w:val="decimal"/>
      <w:pStyle w:val="172"/>
      <w:suff w:val="nothing"/>
      <w:lvlText w:val="%1%2.%3.%4.%5　"/>
      <w:lvlJc w:val="left"/>
      <w:pPr>
        <w:ind w:left="0" w:firstLine="0"/>
      </w:pPr>
    </w:lvl>
    <w:lvl w:ilvl="5" w:tentative="0">
      <w:start w:val="1"/>
      <w:numFmt w:val="decimal"/>
      <w:pStyle w:val="174"/>
      <w:suff w:val="nothing"/>
      <w:lvlText w:val="%1%2.%3.%4.%5.%6　"/>
      <w:lvlJc w:val="left"/>
      <w:pPr>
        <w:ind w:left="0" w:firstLine="0"/>
      </w:pPr>
    </w:lvl>
    <w:lvl w:ilvl="6" w:tentative="0">
      <w:start w:val="1"/>
      <w:numFmt w:val="decimal"/>
      <w:pStyle w:val="177"/>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99"/>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12"/>
      <w:lvlText w:val="%1"/>
      <w:lvlJc w:val="left"/>
      <w:pPr>
        <w:ind w:left="425" w:hanging="425"/>
      </w:pPr>
      <w:rPr>
        <w:rFonts w:hint="eastAsia"/>
      </w:rPr>
    </w:lvl>
    <w:lvl w:ilvl="1" w:tentative="0">
      <w:start w:val="1"/>
      <w:numFmt w:val="decimal"/>
      <w:pStyle w:val="217"/>
      <w:suff w:val="nothing"/>
      <w:lvlText w:val="%10.%2 "/>
      <w:lvlJc w:val="left"/>
      <w:pPr>
        <w:ind w:left="0" w:firstLine="0"/>
      </w:pPr>
      <w:rPr>
        <w:rFonts w:hint="eastAsia" w:ascii="黑体" w:eastAsia="黑体" w:hAnsiTheme="minorHAnsi"/>
        <w:b w:val="0"/>
        <w:i w:val="0"/>
        <w:sz w:val="21"/>
      </w:rPr>
    </w:lvl>
    <w:lvl w:ilvl="2" w:tentative="0">
      <w:start w:val="1"/>
      <w:numFmt w:val="decimal"/>
      <w:pStyle w:val="218"/>
      <w:suff w:val="nothing"/>
      <w:lvlText w:val="%10.%2.%3 "/>
      <w:lvlJc w:val="left"/>
      <w:pPr>
        <w:ind w:left="0" w:firstLine="0"/>
      </w:pPr>
      <w:rPr>
        <w:rFonts w:hint="eastAsia" w:ascii="黑体" w:eastAsia="黑体" w:hAnsiTheme="minorHAnsi"/>
        <w:b w:val="0"/>
        <w:i w:val="0"/>
        <w:sz w:val="21"/>
      </w:rPr>
    </w:lvl>
    <w:lvl w:ilvl="3" w:tentative="0">
      <w:start w:val="1"/>
      <w:numFmt w:val="decimal"/>
      <w:pStyle w:val="219"/>
      <w:suff w:val="nothing"/>
      <w:lvlText w:val="%10.%2.%3.%4 "/>
      <w:lvlJc w:val="left"/>
      <w:pPr>
        <w:ind w:left="0" w:firstLine="0"/>
      </w:pPr>
      <w:rPr>
        <w:rFonts w:hint="eastAsia" w:ascii="黑体" w:eastAsia="黑体" w:hAnsiTheme="minorHAnsi"/>
        <w:b w:val="0"/>
        <w:i w:val="0"/>
        <w:sz w:val="21"/>
      </w:rPr>
    </w:lvl>
    <w:lvl w:ilvl="4" w:tentative="0">
      <w:start w:val="1"/>
      <w:numFmt w:val="decimal"/>
      <w:pStyle w:val="220"/>
      <w:suff w:val="nothing"/>
      <w:lvlText w:val="%10.%2.%3.%4.%5 "/>
      <w:lvlJc w:val="left"/>
      <w:pPr>
        <w:ind w:left="0" w:firstLine="0"/>
      </w:pPr>
      <w:rPr>
        <w:rFonts w:hint="eastAsia" w:ascii="黑体" w:eastAsia="黑体" w:hAnsiTheme="minorHAnsi"/>
        <w:b w:val="0"/>
        <w:i w:val="0"/>
        <w:sz w:val="21"/>
      </w:rPr>
    </w:lvl>
    <w:lvl w:ilvl="5" w:tentative="0">
      <w:start w:val="1"/>
      <w:numFmt w:val="decimal"/>
      <w:pStyle w:val="221"/>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200"/>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9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8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0DDE2B46"/>
    <w:multiLevelType w:val="multilevel"/>
    <w:tmpl w:val="0DDE2B46"/>
    <w:lvl w:ilvl="0" w:tentative="0">
      <w:start w:val="1"/>
      <w:numFmt w:val="lowerLetter"/>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8">
    <w:nsid w:val="1AD20F90"/>
    <w:multiLevelType w:val="multilevel"/>
    <w:tmpl w:val="1AD20F90"/>
    <w:lvl w:ilvl="0" w:tentative="0">
      <w:start w:val="1"/>
      <w:numFmt w:val="none"/>
      <w:pStyle w:val="13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10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DBF583A"/>
    <w:multiLevelType w:val="multilevel"/>
    <w:tmpl w:val="1DBF583A"/>
    <w:lvl w:ilvl="0" w:tentative="0">
      <w:start w:val="1"/>
      <w:numFmt w:val="decimal"/>
      <w:pStyle w:val="25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1">
    <w:nsid w:val="1EAA1992"/>
    <w:multiLevelType w:val="multilevel"/>
    <w:tmpl w:val="1EAA1992"/>
    <w:lvl w:ilvl="0" w:tentative="0">
      <w:start w:val="1"/>
      <w:numFmt w:val="none"/>
      <w:pStyle w:val="11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5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0"/>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2"/>
      <w:suff w:val="nothing"/>
      <w:lvlText w:val="%1.%2.%3　"/>
      <w:lvlJc w:val="left"/>
      <w:pPr>
        <w:ind w:left="0" w:firstLine="0"/>
      </w:pPr>
      <w:rPr>
        <w:rFonts w:hint="eastAsia" w:ascii="黑体" w:hAnsi="Times New Roman" w:eastAsia="黑体"/>
        <w:b w:val="0"/>
        <w:i w:val="0"/>
        <w:sz w:val="21"/>
      </w:rPr>
    </w:lvl>
    <w:lvl w:ilvl="3" w:tentative="0">
      <w:start w:val="1"/>
      <w:numFmt w:val="decimal"/>
      <w:pStyle w:val="54"/>
      <w:suff w:val="nothing"/>
      <w:lvlText w:val="%1.%2.%3.%4　"/>
      <w:lvlJc w:val="left"/>
      <w:pPr>
        <w:ind w:left="710" w:firstLine="0"/>
      </w:pPr>
      <w:rPr>
        <w:rFonts w:hint="eastAsia" w:ascii="黑体" w:hAnsi="Times New Roman" w:eastAsia="黑体"/>
        <w:b w:val="0"/>
        <w:i w:val="0"/>
        <w:sz w:val="21"/>
      </w:rPr>
    </w:lvl>
    <w:lvl w:ilvl="4" w:tentative="0">
      <w:start w:val="1"/>
      <w:numFmt w:val="decimal"/>
      <w:pStyle w:val="55"/>
      <w:suff w:val="nothing"/>
      <w:lvlText w:val="%1.%2.%3.%4.%5　"/>
      <w:lvlJc w:val="left"/>
      <w:pPr>
        <w:ind w:left="851" w:firstLine="0"/>
      </w:pPr>
      <w:rPr>
        <w:rFonts w:hint="eastAsia" w:ascii="黑体" w:hAnsi="Times New Roman" w:eastAsia="黑体"/>
        <w:b w:val="0"/>
        <w:i w:val="0"/>
        <w:sz w:val="21"/>
      </w:rPr>
    </w:lvl>
    <w:lvl w:ilvl="5" w:tentative="0">
      <w:start w:val="1"/>
      <w:numFmt w:val="decimal"/>
      <w:pStyle w:val="5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A8F7113"/>
    <w:multiLevelType w:val="multilevel"/>
    <w:tmpl w:val="2A8F7113"/>
    <w:lvl w:ilvl="0" w:tentative="0">
      <w:start w:val="1"/>
      <w:numFmt w:val="upperLetter"/>
      <w:pStyle w:val="275"/>
      <w:suff w:val="space"/>
      <w:lvlText w:val="%1"/>
      <w:lvlJc w:val="left"/>
      <w:pPr>
        <w:ind w:left="623" w:hanging="425"/>
      </w:pPr>
      <w:rPr>
        <w:rFonts w:hint="eastAsia"/>
      </w:rPr>
    </w:lvl>
    <w:lvl w:ilvl="1" w:tentative="0">
      <w:start w:val="1"/>
      <w:numFmt w:val="decimal"/>
      <w:pStyle w:val="276"/>
      <w:suff w:val="nothing"/>
      <w:lvlText w:val="图%1.%2　"/>
      <w:lvlJc w:val="left"/>
      <w:pPr>
        <w:ind w:left="4679"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4">
    <w:nsid w:val="2C5917C3"/>
    <w:multiLevelType w:val="multilevel"/>
    <w:tmpl w:val="2C5917C3"/>
    <w:lvl w:ilvl="0" w:tentative="0">
      <w:start w:val="1"/>
      <w:numFmt w:val="none"/>
      <w:pStyle w:val="151"/>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06"/>
      <w:lvlText w:val=""/>
      <w:lvlJc w:val="left"/>
      <w:pPr>
        <w:ind w:left="851" w:hanging="431"/>
      </w:pPr>
      <w:rPr>
        <w:rFonts w:hint="default" w:ascii="Symbol" w:hAnsi="Symbol"/>
        <w:sz w:val="21"/>
      </w:rPr>
    </w:lvl>
    <w:lvl w:ilvl="2" w:tentative="0">
      <w:start w:val="1"/>
      <w:numFmt w:val="bullet"/>
      <w:pStyle w:val="191"/>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tentative="0">
      <w:start w:val="1"/>
      <w:numFmt w:val="lowerLetter"/>
      <w:pStyle w:val="12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4C50F90"/>
    <w:multiLevelType w:val="multilevel"/>
    <w:tmpl w:val="44C50F90"/>
    <w:lvl w:ilvl="0" w:tentative="0">
      <w:start w:val="1"/>
      <w:numFmt w:val="lowerLetter"/>
      <w:pStyle w:val="193"/>
      <w:lvlText w:val="%1)"/>
      <w:lvlJc w:val="left"/>
      <w:pPr>
        <w:tabs>
          <w:tab w:val="left" w:pos="851"/>
        </w:tabs>
        <w:ind w:left="851" w:hanging="426"/>
      </w:pPr>
      <w:rPr>
        <w:rFonts w:hint="eastAsia" w:ascii="宋体" w:hAnsi="Times New Roman" w:eastAsia="宋体"/>
        <w:sz w:val="21"/>
      </w:rPr>
    </w:lvl>
    <w:lvl w:ilvl="1" w:tentative="0">
      <w:start w:val="1"/>
      <w:numFmt w:val="decimal"/>
      <w:pStyle w:val="131"/>
      <w:lvlText w:val="%2)"/>
      <w:lvlJc w:val="left"/>
      <w:pPr>
        <w:tabs>
          <w:tab w:val="left" w:pos="1276"/>
        </w:tabs>
        <w:ind w:left="1276" w:hanging="425"/>
      </w:pPr>
      <w:rPr>
        <w:rFonts w:hint="eastAsia" w:ascii="宋体" w:hAnsi="Times New Roman" w:eastAsia="宋体"/>
        <w:sz w:val="21"/>
      </w:rPr>
    </w:lvl>
    <w:lvl w:ilvl="2" w:tentative="0">
      <w:start w:val="1"/>
      <w:numFmt w:val="decimal"/>
      <w:pStyle w:val="13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215"/>
      <w:lvlText w:val="%1"/>
      <w:lvlJc w:val="left"/>
      <w:pPr>
        <w:ind w:left="420" w:hanging="420"/>
      </w:pPr>
      <w:rPr>
        <w:rFonts w:hint="eastAsia"/>
      </w:rPr>
    </w:lvl>
    <w:lvl w:ilvl="1" w:tentative="0">
      <w:start w:val="1"/>
      <w:numFmt w:val="decimal"/>
      <w:pStyle w:val="10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202"/>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3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4632751"/>
    <w:multiLevelType w:val="multilevel"/>
    <w:tmpl w:val="54632751"/>
    <w:lvl w:ilvl="0" w:tentative="0">
      <w:start w:val="1"/>
      <w:numFmt w:val="none"/>
      <w:pStyle w:val="11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603797C"/>
    <w:multiLevelType w:val="multilevel"/>
    <w:tmpl w:val="5603797C"/>
    <w:lvl w:ilvl="0" w:tentative="0">
      <w:start w:val="1"/>
      <w:numFmt w:val="upperLetter"/>
      <w:pStyle w:val="216"/>
      <w:suff w:val="space"/>
      <w:lvlText w:val="%1"/>
      <w:lvlJc w:val="left"/>
      <w:pPr>
        <w:ind w:left="425" w:hanging="425"/>
      </w:pPr>
      <w:rPr>
        <w:rFonts w:hint="eastAsia"/>
      </w:rPr>
    </w:lvl>
    <w:lvl w:ilvl="1" w:tentative="0">
      <w:start w:val="1"/>
      <w:numFmt w:val="decimal"/>
      <w:pStyle w:val="101"/>
      <w:suff w:val="space"/>
      <w:lvlText w:val="表%1.%2"/>
      <w:lvlJc w:val="center"/>
      <w:pPr>
        <w:ind w:left="4962"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3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DD46A58"/>
    <w:multiLevelType w:val="multilevel"/>
    <w:tmpl w:val="5DD46A58"/>
    <w:lvl w:ilvl="0" w:tentative="0">
      <w:start w:val="1"/>
      <w:numFmt w:val="decimal"/>
      <w:suff w:val="nothing"/>
      <w:lvlText w:val="注%1："/>
      <w:lvlJc w:val="left"/>
      <w:pPr>
        <w:ind w:left="811" w:hanging="448"/>
      </w:pPr>
      <w:rPr>
        <w:rFonts w:hint="eastAsia" w:ascii="黑体" w:hAnsi="黑体" w:eastAsia="黑体"/>
        <w:b w:val="0"/>
        <w:i w:val="0"/>
        <w:sz w:val="18"/>
        <w:vertAlign w:val="baseline"/>
      </w:rPr>
    </w:lvl>
    <w:lvl w:ilvl="1" w:tentative="0">
      <w:start w:val="1"/>
      <w:numFmt w:val="lowerLetter"/>
      <w:lvlText w:val="%2)"/>
      <w:lvlJc w:val="left"/>
      <w:pPr>
        <w:tabs>
          <w:tab w:val="left" w:pos="181"/>
        </w:tabs>
        <w:ind w:left="1174" w:hanging="630"/>
      </w:pPr>
      <w:rPr>
        <w:vertAlign w:val="baseline"/>
      </w:rPr>
    </w:lvl>
    <w:lvl w:ilvl="2" w:tentative="0">
      <w:start w:val="1"/>
      <w:numFmt w:val="lowerRoman"/>
      <w:lvlText w:val="%3."/>
      <w:lvlJc w:val="right"/>
      <w:pPr>
        <w:tabs>
          <w:tab w:val="left" w:pos="181"/>
        </w:tabs>
        <w:ind w:left="1174" w:hanging="630"/>
      </w:pPr>
      <w:rPr>
        <w:vertAlign w:val="baseline"/>
      </w:rPr>
    </w:lvl>
    <w:lvl w:ilvl="3" w:tentative="0">
      <w:start w:val="1"/>
      <w:numFmt w:val="decimal"/>
      <w:lvlText w:val="%4."/>
      <w:lvlJc w:val="left"/>
      <w:pPr>
        <w:tabs>
          <w:tab w:val="left" w:pos="181"/>
        </w:tabs>
        <w:ind w:left="1174" w:hanging="630"/>
      </w:pPr>
      <w:rPr>
        <w:vertAlign w:val="baseline"/>
      </w:rPr>
    </w:lvl>
    <w:lvl w:ilvl="4" w:tentative="0">
      <w:start w:val="1"/>
      <w:numFmt w:val="lowerLetter"/>
      <w:lvlText w:val="%5)"/>
      <w:lvlJc w:val="left"/>
      <w:pPr>
        <w:tabs>
          <w:tab w:val="left" w:pos="181"/>
        </w:tabs>
        <w:ind w:left="1174" w:hanging="630"/>
      </w:pPr>
      <w:rPr>
        <w:vertAlign w:val="baseline"/>
      </w:rPr>
    </w:lvl>
    <w:lvl w:ilvl="5" w:tentative="0">
      <w:start w:val="1"/>
      <w:numFmt w:val="lowerRoman"/>
      <w:lvlText w:val="%6."/>
      <w:lvlJc w:val="right"/>
      <w:pPr>
        <w:tabs>
          <w:tab w:val="left" w:pos="181"/>
        </w:tabs>
        <w:ind w:left="1174" w:hanging="630"/>
      </w:pPr>
      <w:rPr>
        <w:vertAlign w:val="baseline"/>
      </w:rPr>
    </w:lvl>
    <w:lvl w:ilvl="6" w:tentative="0">
      <w:start w:val="1"/>
      <w:numFmt w:val="decimal"/>
      <w:lvlText w:val="%7."/>
      <w:lvlJc w:val="left"/>
      <w:pPr>
        <w:tabs>
          <w:tab w:val="left" w:pos="181"/>
        </w:tabs>
        <w:ind w:left="1174" w:hanging="630"/>
      </w:pPr>
      <w:rPr>
        <w:vertAlign w:val="baseline"/>
      </w:rPr>
    </w:lvl>
    <w:lvl w:ilvl="7" w:tentative="0">
      <w:start w:val="1"/>
      <w:numFmt w:val="lowerLetter"/>
      <w:lvlText w:val="%8)"/>
      <w:lvlJc w:val="left"/>
      <w:pPr>
        <w:tabs>
          <w:tab w:val="left" w:pos="181"/>
        </w:tabs>
        <w:ind w:left="1174" w:hanging="630"/>
      </w:pPr>
      <w:rPr>
        <w:vertAlign w:val="baseline"/>
      </w:rPr>
    </w:lvl>
    <w:lvl w:ilvl="8" w:tentative="0">
      <w:start w:val="1"/>
      <w:numFmt w:val="lowerRoman"/>
      <w:lvlText w:val="%9."/>
      <w:lvlJc w:val="right"/>
      <w:pPr>
        <w:tabs>
          <w:tab w:val="left" w:pos="181"/>
        </w:tabs>
        <w:ind w:left="1174" w:hanging="630"/>
      </w:pPr>
      <w:rPr>
        <w:vertAlign w:val="baseline"/>
      </w:rPr>
    </w:lvl>
  </w:abstractNum>
  <w:abstractNum w:abstractNumId="24">
    <w:nsid w:val="60B55DC2"/>
    <w:multiLevelType w:val="multilevel"/>
    <w:tmpl w:val="60B55DC2"/>
    <w:lvl w:ilvl="0" w:tentative="0">
      <w:start w:val="1"/>
      <w:numFmt w:val="upperLetter"/>
      <w:pStyle w:val="260"/>
      <w:lvlText w:val="%1"/>
      <w:lvlJc w:val="left"/>
      <w:pPr>
        <w:tabs>
          <w:tab w:val="left" w:pos="0"/>
        </w:tabs>
        <w:ind w:left="0" w:hanging="425"/>
      </w:pPr>
      <w:rPr>
        <w:rFonts w:hint="eastAsia"/>
      </w:rPr>
    </w:lvl>
    <w:lvl w:ilvl="1" w:tentative="0">
      <w:start w:val="1"/>
      <w:numFmt w:val="decimal"/>
      <w:pStyle w:val="261"/>
      <w:suff w:val="nothing"/>
      <w:lvlText w:val="表%1.%2　"/>
      <w:lvlJc w:val="left"/>
      <w:pPr>
        <w:ind w:left="453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5">
    <w:nsid w:val="644622F9"/>
    <w:multiLevelType w:val="multilevel"/>
    <w:tmpl w:val="644622F9"/>
    <w:lvl w:ilvl="0" w:tentative="0">
      <w:start w:val="1"/>
      <w:numFmt w:val="upperRoman"/>
      <w:pStyle w:val="18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tentative="0">
      <w:start w:val="1"/>
      <w:numFmt w:val="decimal"/>
      <w:pStyle w:val="57"/>
      <w:suff w:val="nothing"/>
      <w:lvlText w:val="表%1　"/>
      <w:lvlJc w:val="left"/>
      <w:pPr>
        <w:ind w:left="1560" w:firstLine="0"/>
      </w:pPr>
      <w:rPr>
        <w:rFonts w:hint="eastAsia" w:ascii="黑体" w:hAnsi="Times New Roman" w:eastAsia="黑体"/>
        <w:b w:val="0"/>
        <w:i w:val="0"/>
        <w:sz w:val="21"/>
      </w:rPr>
    </w:lvl>
    <w:lvl w:ilvl="1" w:tentative="0">
      <w:start w:val="1"/>
      <w:numFmt w:val="decimal"/>
      <w:lvlText w:val="%1.%2"/>
      <w:lvlJc w:val="left"/>
      <w:pPr>
        <w:tabs>
          <w:tab w:val="left" w:pos="2552"/>
        </w:tabs>
        <w:ind w:left="2552" w:hanging="567"/>
      </w:pPr>
      <w:rPr>
        <w:rFonts w:hint="eastAsia"/>
      </w:rPr>
    </w:lvl>
    <w:lvl w:ilvl="2" w:tentative="0">
      <w:start w:val="1"/>
      <w:numFmt w:val="decimal"/>
      <w:lvlText w:val="%1.%2.%3"/>
      <w:lvlJc w:val="left"/>
      <w:pPr>
        <w:tabs>
          <w:tab w:val="left" w:pos="2978"/>
        </w:tabs>
        <w:ind w:left="2978" w:hanging="567"/>
      </w:pPr>
      <w:rPr>
        <w:rFonts w:hint="eastAsia"/>
      </w:rPr>
    </w:lvl>
    <w:lvl w:ilvl="3" w:tentative="0">
      <w:start w:val="1"/>
      <w:numFmt w:val="decimal"/>
      <w:lvlText w:val="%1.%2.%3.%4"/>
      <w:lvlJc w:val="left"/>
      <w:pPr>
        <w:tabs>
          <w:tab w:val="left" w:pos="3544"/>
        </w:tabs>
        <w:ind w:left="3544" w:hanging="708"/>
      </w:pPr>
      <w:rPr>
        <w:rFonts w:hint="eastAsia"/>
      </w:rPr>
    </w:lvl>
    <w:lvl w:ilvl="4" w:tentative="0">
      <w:start w:val="1"/>
      <w:numFmt w:val="decimal"/>
      <w:lvlText w:val="%1.%2.%3.%4.%5"/>
      <w:lvlJc w:val="left"/>
      <w:pPr>
        <w:tabs>
          <w:tab w:val="left" w:pos="4111"/>
        </w:tabs>
        <w:ind w:left="4111" w:hanging="850"/>
      </w:pPr>
      <w:rPr>
        <w:rFonts w:hint="eastAsia"/>
      </w:rPr>
    </w:lvl>
    <w:lvl w:ilvl="5" w:tentative="0">
      <w:start w:val="1"/>
      <w:numFmt w:val="decimal"/>
      <w:lvlText w:val="%1.%2.%3.%4.%5.%6"/>
      <w:lvlJc w:val="left"/>
      <w:pPr>
        <w:tabs>
          <w:tab w:val="left" w:pos="4820"/>
        </w:tabs>
        <w:ind w:left="4820" w:hanging="1134"/>
      </w:pPr>
      <w:rPr>
        <w:rFonts w:hint="eastAsia"/>
      </w:rPr>
    </w:lvl>
    <w:lvl w:ilvl="6" w:tentative="0">
      <w:start w:val="1"/>
      <w:numFmt w:val="decimal"/>
      <w:lvlText w:val="%1.%2.%3.%4.%5.%6.%7"/>
      <w:lvlJc w:val="left"/>
      <w:pPr>
        <w:tabs>
          <w:tab w:val="left" w:pos="5387"/>
        </w:tabs>
        <w:ind w:left="5387" w:hanging="1276"/>
      </w:pPr>
      <w:rPr>
        <w:rFonts w:hint="eastAsia"/>
      </w:rPr>
    </w:lvl>
    <w:lvl w:ilvl="7" w:tentative="0">
      <w:start w:val="1"/>
      <w:numFmt w:val="decimal"/>
      <w:lvlText w:val="%1.%2.%3.%4.%5.%6.%7.%8"/>
      <w:lvlJc w:val="left"/>
      <w:pPr>
        <w:tabs>
          <w:tab w:val="left" w:pos="5954"/>
        </w:tabs>
        <w:ind w:left="5954" w:hanging="1418"/>
      </w:pPr>
      <w:rPr>
        <w:rFonts w:hint="eastAsia"/>
      </w:rPr>
    </w:lvl>
    <w:lvl w:ilvl="8" w:tentative="0">
      <w:start w:val="1"/>
      <w:numFmt w:val="decimal"/>
      <w:lvlText w:val="%1.%2.%3.%4.%5.%6.%7.%8.%9"/>
      <w:lvlJc w:val="left"/>
      <w:pPr>
        <w:tabs>
          <w:tab w:val="left" w:pos="6662"/>
        </w:tabs>
        <w:ind w:left="6662" w:hanging="1700"/>
      </w:pPr>
      <w:rPr>
        <w:rFonts w:hint="eastAsia"/>
      </w:rPr>
    </w:lvl>
  </w:abstractNum>
  <w:abstractNum w:abstractNumId="27">
    <w:nsid w:val="654A26C9"/>
    <w:multiLevelType w:val="multilevel"/>
    <w:tmpl w:val="654A26C9"/>
    <w:lvl w:ilvl="0" w:tentative="0">
      <w:start w:val="1"/>
      <w:numFmt w:val="none"/>
      <w:pStyle w:val="208"/>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657D3FBC"/>
    <w:multiLevelType w:val="multilevel"/>
    <w:tmpl w:val="657D3FBC"/>
    <w:lvl w:ilvl="0" w:tentative="0">
      <w:start w:val="1"/>
      <w:numFmt w:val="upperLetter"/>
      <w:pStyle w:val="100"/>
      <w:suff w:val="nothing"/>
      <w:lvlText w:val="附录%1"/>
      <w:lvlJc w:val="left"/>
      <w:pPr>
        <w:ind w:left="0" w:firstLine="0"/>
      </w:pPr>
      <w:rPr>
        <w:rFonts w:hint="eastAsia"/>
        <w:spacing w:val="100"/>
      </w:rPr>
    </w:lvl>
    <w:lvl w:ilvl="1" w:tentative="0">
      <w:start w:val="1"/>
      <w:numFmt w:val="decimal"/>
      <w:pStyle w:val="102"/>
      <w:suff w:val="nothing"/>
      <w:lvlText w:val="%1.%2　"/>
      <w:lvlJc w:val="left"/>
      <w:pPr>
        <w:ind w:left="0" w:firstLine="0"/>
      </w:pPr>
      <w:rPr>
        <w:rFonts w:hint="eastAsia" w:ascii="黑体" w:eastAsia="黑体"/>
        <w:b w:val="0"/>
        <w:i w:val="0"/>
        <w:sz w:val="21"/>
      </w:rPr>
    </w:lvl>
    <w:lvl w:ilvl="2" w:tentative="0">
      <w:start w:val="1"/>
      <w:numFmt w:val="decimal"/>
      <w:pStyle w:val="103"/>
      <w:suff w:val="nothing"/>
      <w:lvlText w:val="%1.%2.%3　"/>
      <w:lvlJc w:val="left"/>
      <w:pPr>
        <w:ind w:left="0" w:firstLine="0"/>
      </w:pPr>
      <w:rPr>
        <w:rFonts w:hint="eastAsia" w:ascii="黑体" w:eastAsia="黑体"/>
        <w:b w:val="0"/>
        <w:i w:val="0"/>
        <w:sz w:val="21"/>
      </w:rPr>
    </w:lvl>
    <w:lvl w:ilvl="3" w:tentative="0">
      <w:start w:val="1"/>
      <w:numFmt w:val="decimal"/>
      <w:pStyle w:val="105"/>
      <w:suff w:val="nothing"/>
      <w:lvlText w:val="%1.%2.%3.%4　"/>
      <w:lvlJc w:val="left"/>
      <w:pPr>
        <w:ind w:left="0" w:firstLine="0"/>
      </w:pPr>
      <w:rPr>
        <w:rFonts w:hint="eastAsia" w:ascii="黑体" w:eastAsia="黑体"/>
        <w:b w:val="0"/>
        <w:i w:val="0"/>
        <w:sz w:val="21"/>
      </w:rPr>
    </w:lvl>
    <w:lvl w:ilvl="4" w:tentative="0">
      <w:start w:val="1"/>
      <w:numFmt w:val="decimal"/>
      <w:pStyle w:val="106"/>
      <w:suff w:val="nothing"/>
      <w:lvlText w:val="%1.%2.%3.%4.%5　"/>
      <w:lvlJc w:val="left"/>
      <w:pPr>
        <w:ind w:left="0" w:firstLine="0"/>
      </w:pPr>
      <w:rPr>
        <w:rFonts w:hint="eastAsia" w:ascii="黑体" w:eastAsia="黑体"/>
        <w:b w:val="0"/>
        <w:i w:val="0"/>
        <w:sz w:val="21"/>
      </w:rPr>
    </w:lvl>
    <w:lvl w:ilvl="5" w:tentative="0">
      <w:start w:val="1"/>
      <w:numFmt w:val="decimal"/>
      <w:pStyle w:val="10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tentative="0">
      <w:start w:val="1"/>
      <w:numFmt w:val="bullet"/>
      <w:pStyle w:val="207"/>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0">
    <w:nsid w:val="6CA41985"/>
    <w:multiLevelType w:val="multilevel"/>
    <w:tmpl w:val="6CA41985"/>
    <w:lvl w:ilvl="0" w:tentative="0">
      <w:start w:val="1"/>
      <w:numFmt w:val="decimal"/>
      <w:pStyle w:val="12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9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EA2025"/>
    <w:multiLevelType w:val="multilevel"/>
    <w:tmpl w:val="6CEA2025"/>
    <w:lvl w:ilvl="0" w:tentative="0">
      <w:start w:val="1"/>
      <w:numFmt w:val="none"/>
      <w:pStyle w:val="171"/>
      <w:suff w:val="nothing"/>
      <w:lvlText w:val="%1"/>
      <w:lvlJc w:val="left"/>
      <w:pPr>
        <w:ind w:left="0" w:firstLine="0"/>
      </w:pPr>
      <w:rPr>
        <w:rFonts w:hint="eastAsia"/>
      </w:rPr>
    </w:lvl>
    <w:lvl w:ilvl="1" w:tentative="0">
      <w:start w:val="1"/>
      <w:numFmt w:val="decimal"/>
      <w:pStyle w:val="126"/>
      <w:suff w:val="nothing"/>
      <w:lvlText w:val="%1%2　"/>
      <w:lvlJc w:val="left"/>
      <w:pPr>
        <w:ind w:left="0" w:firstLine="0"/>
      </w:pPr>
      <w:rPr>
        <w:rFonts w:hint="eastAsia" w:ascii="黑体" w:eastAsia="黑体"/>
        <w:b w:val="0"/>
        <w:i w:val="0"/>
        <w:sz w:val="21"/>
      </w:rPr>
    </w:lvl>
    <w:lvl w:ilvl="2" w:tentative="0">
      <w:start w:val="1"/>
      <w:numFmt w:val="decimal"/>
      <w:pStyle w:val="127"/>
      <w:suff w:val="nothing"/>
      <w:lvlText w:val="%1%2.%3　"/>
      <w:lvlJc w:val="left"/>
      <w:pPr>
        <w:ind w:left="85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89"/>
      <w:suff w:val="nothing"/>
      <w:lvlText w:val="%1%2.%3.%4　"/>
      <w:lvlJc w:val="left"/>
      <w:pPr>
        <w:ind w:left="0" w:firstLine="0"/>
      </w:pPr>
      <w:rPr>
        <w:rFonts w:hint="eastAsia" w:ascii="黑体" w:eastAsia="黑体"/>
        <w:b w:val="0"/>
        <w:i w:val="0"/>
        <w:sz w:val="21"/>
      </w:rPr>
    </w:lvl>
    <w:lvl w:ilvl="4" w:tentative="0">
      <w:start w:val="1"/>
      <w:numFmt w:val="decimal"/>
      <w:pStyle w:val="117"/>
      <w:suff w:val="nothing"/>
      <w:lvlText w:val="%1%2.%3.%4.%5　"/>
      <w:lvlJc w:val="left"/>
      <w:pPr>
        <w:ind w:left="0" w:firstLine="0"/>
      </w:pPr>
      <w:rPr>
        <w:rFonts w:hint="eastAsia" w:ascii="黑体" w:eastAsia="黑体"/>
        <w:b w:val="0"/>
        <w:i w:val="0"/>
        <w:sz w:val="21"/>
      </w:rPr>
    </w:lvl>
    <w:lvl w:ilvl="5" w:tentative="0">
      <w:start w:val="1"/>
      <w:numFmt w:val="decimal"/>
      <w:pStyle w:val="121"/>
      <w:suff w:val="nothing"/>
      <w:lvlText w:val="%1%2.%3.%4.%5.%6　"/>
      <w:lvlJc w:val="left"/>
      <w:pPr>
        <w:ind w:left="0" w:firstLine="0"/>
      </w:pPr>
      <w:rPr>
        <w:rFonts w:hint="eastAsia" w:ascii="黑体" w:eastAsia="黑体"/>
        <w:b w:val="0"/>
        <w:i w:val="0"/>
        <w:sz w:val="21"/>
      </w:rPr>
    </w:lvl>
    <w:lvl w:ilvl="6" w:tentative="0">
      <w:start w:val="1"/>
      <w:numFmt w:val="decimal"/>
      <w:pStyle w:val="12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tentative="0">
      <w:start w:val="1"/>
      <w:numFmt w:val="none"/>
      <w:pStyle w:val="19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3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6933334"/>
    <w:multiLevelType w:val="multilevel"/>
    <w:tmpl w:val="76933334"/>
    <w:lvl w:ilvl="0" w:tentative="0">
      <w:start w:val="1"/>
      <w:numFmt w:val="none"/>
      <w:pStyle w:val="158"/>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2"/>
  </w:num>
  <w:num w:numId="2">
    <w:abstractNumId w:val="26"/>
  </w:num>
  <w:num w:numId="3">
    <w:abstractNumId w:val="0"/>
  </w:num>
  <w:num w:numId="4">
    <w:abstractNumId w:val="32"/>
  </w:num>
  <w:num w:numId="5">
    <w:abstractNumId w:val="5"/>
  </w:num>
  <w:num w:numId="6">
    <w:abstractNumId w:val="28"/>
  </w:num>
  <w:num w:numId="7">
    <w:abstractNumId w:val="21"/>
  </w:num>
  <w:num w:numId="8">
    <w:abstractNumId w:val="17"/>
  </w:num>
  <w:num w:numId="9">
    <w:abstractNumId w:val="9"/>
  </w:num>
  <w:num w:numId="10">
    <w:abstractNumId w:val="3"/>
  </w:num>
  <w:num w:numId="11">
    <w:abstractNumId w:val="11"/>
  </w:num>
  <w:num w:numId="12">
    <w:abstractNumId w:val="20"/>
  </w:num>
  <w:num w:numId="13">
    <w:abstractNumId w:val="30"/>
  </w:num>
  <w:num w:numId="14">
    <w:abstractNumId w:val="15"/>
  </w:num>
  <w:num w:numId="15">
    <w:abstractNumId w:val="16"/>
  </w:num>
  <w:num w:numId="16">
    <w:abstractNumId w:val="8"/>
  </w:num>
  <w:num w:numId="17">
    <w:abstractNumId w:val="22"/>
  </w:num>
  <w:num w:numId="18">
    <w:abstractNumId w:val="34"/>
  </w:num>
  <w:num w:numId="19">
    <w:abstractNumId w:val="19"/>
  </w:num>
  <w:num w:numId="20">
    <w:abstractNumId w:val="1"/>
  </w:num>
  <w:num w:numId="21">
    <w:abstractNumId w:val="14"/>
  </w:num>
  <w:num w:numId="22">
    <w:abstractNumId w:val="35"/>
  </w:num>
  <w:num w:numId="23">
    <w:abstractNumId w:val="25"/>
  </w:num>
  <w:num w:numId="24">
    <w:abstractNumId w:val="6"/>
  </w:num>
  <w:num w:numId="25">
    <w:abstractNumId w:val="31"/>
  </w:num>
  <w:num w:numId="26">
    <w:abstractNumId w:val="33"/>
  </w:num>
  <w:num w:numId="27">
    <w:abstractNumId w:val="2"/>
  </w:num>
  <w:num w:numId="28">
    <w:abstractNumId w:val="4"/>
  </w:num>
  <w:num w:numId="29">
    <w:abstractNumId w:val="18"/>
  </w:num>
  <w:num w:numId="30">
    <w:abstractNumId w:val="29"/>
  </w:num>
  <w:num w:numId="31">
    <w:abstractNumId w:val="27"/>
  </w:num>
  <w:num w:numId="32">
    <w:abstractNumId w:val="10"/>
  </w:num>
  <w:num w:numId="33">
    <w:abstractNumId w:val="24"/>
  </w:num>
  <w:num w:numId="34">
    <w:abstractNumId w:val="13"/>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5ZmEzNDhlOWQ3YmE4NGNlNDQ4ZmRhMWU1NjY2NDUifQ=="/>
  </w:docVars>
  <w:rsids>
    <w:rsidRoot w:val="00B726FA"/>
    <w:rsid w:val="00054BC3"/>
    <w:rsid w:val="000922C9"/>
    <w:rsid w:val="00097A16"/>
    <w:rsid w:val="000A6463"/>
    <w:rsid w:val="000D3B4E"/>
    <w:rsid w:val="000E7A31"/>
    <w:rsid w:val="000E7CDC"/>
    <w:rsid w:val="00116770"/>
    <w:rsid w:val="001436D1"/>
    <w:rsid w:val="00146756"/>
    <w:rsid w:val="00146E35"/>
    <w:rsid w:val="00182E74"/>
    <w:rsid w:val="00184222"/>
    <w:rsid w:val="0018637C"/>
    <w:rsid w:val="00186714"/>
    <w:rsid w:val="001A086B"/>
    <w:rsid w:val="001E0EE0"/>
    <w:rsid w:val="002274F3"/>
    <w:rsid w:val="002462F7"/>
    <w:rsid w:val="002547BB"/>
    <w:rsid w:val="002702FF"/>
    <w:rsid w:val="0028277E"/>
    <w:rsid w:val="002A4663"/>
    <w:rsid w:val="002B63FA"/>
    <w:rsid w:val="002C1D48"/>
    <w:rsid w:val="002C659C"/>
    <w:rsid w:val="002E70B9"/>
    <w:rsid w:val="003105FC"/>
    <w:rsid w:val="00312D7A"/>
    <w:rsid w:val="003272D0"/>
    <w:rsid w:val="00330935"/>
    <w:rsid w:val="0034014E"/>
    <w:rsid w:val="00366485"/>
    <w:rsid w:val="00376028"/>
    <w:rsid w:val="00386CFE"/>
    <w:rsid w:val="0039571B"/>
    <w:rsid w:val="003B46C9"/>
    <w:rsid w:val="003B74A8"/>
    <w:rsid w:val="003C08EF"/>
    <w:rsid w:val="003F0D73"/>
    <w:rsid w:val="00402C6D"/>
    <w:rsid w:val="0040336C"/>
    <w:rsid w:val="00411F18"/>
    <w:rsid w:val="00421345"/>
    <w:rsid w:val="0043207A"/>
    <w:rsid w:val="00433003"/>
    <w:rsid w:val="0043557C"/>
    <w:rsid w:val="00437F61"/>
    <w:rsid w:val="00447725"/>
    <w:rsid w:val="00467491"/>
    <w:rsid w:val="00474B6A"/>
    <w:rsid w:val="004D600F"/>
    <w:rsid w:val="004E025D"/>
    <w:rsid w:val="004E69C0"/>
    <w:rsid w:val="004F238B"/>
    <w:rsid w:val="004F2A48"/>
    <w:rsid w:val="004F48D4"/>
    <w:rsid w:val="004F4B5E"/>
    <w:rsid w:val="0050053C"/>
    <w:rsid w:val="00511702"/>
    <w:rsid w:val="00545C7A"/>
    <w:rsid w:val="00553E80"/>
    <w:rsid w:val="00566164"/>
    <w:rsid w:val="00567702"/>
    <w:rsid w:val="0058017D"/>
    <w:rsid w:val="00591BF2"/>
    <w:rsid w:val="00596801"/>
    <w:rsid w:val="00597EC8"/>
    <w:rsid w:val="005C469A"/>
    <w:rsid w:val="005D00F1"/>
    <w:rsid w:val="005D0A40"/>
    <w:rsid w:val="005D37F1"/>
    <w:rsid w:val="005D5236"/>
    <w:rsid w:val="005E19EE"/>
    <w:rsid w:val="005E61A4"/>
    <w:rsid w:val="005F2454"/>
    <w:rsid w:val="005F3300"/>
    <w:rsid w:val="00607EC5"/>
    <w:rsid w:val="00614272"/>
    <w:rsid w:val="00661D02"/>
    <w:rsid w:val="006917A8"/>
    <w:rsid w:val="006A46DF"/>
    <w:rsid w:val="006C59CA"/>
    <w:rsid w:val="00711C3E"/>
    <w:rsid w:val="00737F9B"/>
    <w:rsid w:val="00742BA3"/>
    <w:rsid w:val="007737C2"/>
    <w:rsid w:val="00776840"/>
    <w:rsid w:val="007773CF"/>
    <w:rsid w:val="00792AD0"/>
    <w:rsid w:val="007A2441"/>
    <w:rsid w:val="007C1050"/>
    <w:rsid w:val="007C22E9"/>
    <w:rsid w:val="007C5A11"/>
    <w:rsid w:val="007C5EC9"/>
    <w:rsid w:val="007D3E38"/>
    <w:rsid w:val="007F5F6B"/>
    <w:rsid w:val="0080423B"/>
    <w:rsid w:val="008163F5"/>
    <w:rsid w:val="008177ED"/>
    <w:rsid w:val="00820570"/>
    <w:rsid w:val="0082132C"/>
    <w:rsid w:val="008216F6"/>
    <w:rsid w:val="0082383B"/>
    <w:rsid w:val="00884459"/>
    <w:rsid w:val="0089427F"/>
    <w:rsid w:val="008A7D17"/>
    <w:rsid w:val="008B0E7D"/>
    <w:rsid w:val="008B7E93"/>
    <w:rsid w:val="008D59A6"/>
    <w:rsid w:val="00900AD8"/>
    <w:rsid w:val="00906490"/>
    <w:rsid w:val="009068D4"/>
    <w:rsid w:val="00906ABC"/>
    <w:rsid w:val="00906B7D"/>
    <w:rsid w:val="00912076"/>
    <w:rsid w:val="00914335"/>
    <w:rsid w:val="00915205"/>
    <w:rsid w:val="00927F24"/>
    <w:rsid w:val="009470BC"/>
    <w:rsid w:val="009748E5"/>
    <w:rsid w:val="00986359"/>
    <w:rsid w:val="009917D4"/>
    <w:rsid w:val="00996FAB"/>
    <w:rsid w:val="009A43FC"/>
    <w:rsid w:val="009C4FBF"/>
    <w:rsid w:val="009E067D"/>
    <w:rsid w:val="00A022B8"/>
    <w:rsid w:val="00A1127C"/>
    <w:rsid w:val="00A27F81"/>
    <w:rsid w:val="00A547DD"/>
    <w:rsid w:val="00A554D9"/>
    <w:rsid w:val="00A62BB4"/>
    <w:rsid w:val="00A90159"/>
    <w:rsid w:val="00A97E86"/>
    <w:rsid w:val="00AA24A6"/>
    <w:rsid w:val="00AB62B5"/>
    <w:rsid w:val="00AD5579"/>
    <w:rsid w:val="00AE5665"/>
    <w:rsid w:val="00B01D7A"/>
    <w:rsid w:val="00B2511F"/>
    <w:rsid w:val="00B37F65"/>
    <w:rsid w:val="00B726FA"/>
    <w:rsid w:val="00BC1765"/>
    <w:rsid w:val="00BC377E"/>
    <w:rsid w:val="00BF2AE5"/>
    <w:rsid w:val="00BF5CEF"/>
    <w:rsid w:val="00BF6E8A"/>
    <w:rsid w:val="00C02E57"/>
    <w:rsid w:val="00C031D7"/>
    <w:rsid w:val="00C108AE"/>
    <w:rsid w:val="00C128DE"/>
    <w:rsid w:val="00C3608F"/>
    <w:rsid w:val="00C5009C"/>
    <w:rsid w:val="00C602B9"/>
    <w:rsid w:val="00C65B37"/>
    <w:rsid w:val="00C76C6C"/>
    <w:rsid w:val="00CA1711"/>
    <w:rsid w:val="00CA3D68"/>
    <w:rsid w:val="00CB287D"/>
    <w:rsid w:val="00CE3478"/>
    <w:rsid w:val="00CE6E5D"/>
    <w:rsid w:val="00CF6202"/>
    <w:rsid w:val="00D105B7"/>
    <w:rsid w:val="00D852E1"/>
    <w:rsid w:val="00D90814"/>
    <w:rsid w:val="00D92716"/>
    <w:rsid w:val="00DA1A77"/>
    <w:rsid w:val="00DB7EEE"/>
    <w:rsid w:val="00DF40C0"/>
    <w:rsid w:val="00E12233"/>
    <w:rsid w:val="00E24ED6"/>
    <w:rsid w:val="00E37468"/>
    <w:rsid w:val="00E507BC"/>
    <w:rsid w:val="00E57FD1"/>
    <w:rsid w:val="00E639F7"/>
    <w:rsid w:val="00E65B2E"/>
    <w:rsid w:val="00E83AC2"/>
    <w:rsid w:val="00E9081A"/>
    <w:rsid w:val="00EB4B2C"/>
    <w:rsid w:val="00EC62FD"/>
    <w:rsid w:val="00EF2D42"/>
    <w:rsid w:val="00F128E1"/>
    <w:rsid w:val="00F36428"/>
    <w:rsid w:val="00F3739F"/>
    <w:rsid w:val="00F50F0B"/>
    <w:rsid w:val="00F55638"/>
    <w:rsid w:val="00F75871"/>
    <w:rsid w:val="00FA2E04"/>
    <w:rsid w:val="00FB253D"/>
    <w:rsid w:val="00FB2E49"/>
    <w:rsid w:val="00FC3F5A"/>
    <w:rsid w:val="00FF7033"/>
    <w:rsid w:val="018849D1"/>
    <w:rsid w:val="1FD61C83"/>
    <w:rsid w:val="29917CD6"/>
    <w:rsid w:val="3182650F"/>
    <w:rsid w:val="5050398A"/>
    <w:rsid w:val="53A71C4B"/>
    <w:rsid w:val="6E036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0" w:semiHidden="0" w:name="index 9"/>
    <w:lsdException w:qFormat="1" w:uiPriority="39" w:semiHidden="0" w:name="toc 1"/>
    <w:lsdException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qFormat="1" w:uiPriority="0"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9"/>
    <w:qFormat/>
    <w:uiPriority w:val="0"/>
    <w:pPr>
      <w:keepNext/>
      <w:keepLines/>
      <w:adjustRightInd w:val="0"/>
      <w:spacing w:before="340" w:after="330" w:line="578" w:lineRule="auto"/>
      <w:outlineLvl w:val="0"/>
    </w:pPr>
    <w:rPr>
      <w:rFonts w:ascii="Calibri" w:hAnsi="Calibri" w:eastAsia="宋体" w:cs="Times New Roman"/>
      <w:b/>
      <w:bCs/>
      <w:kern w:val="44"/>
      <w:sz w:val="44"/>
      <w:szCs w:val="44"/>
    </w:rPr>
  </w:style>
  <w:style w:type="paragraph" w:styleId="3">
    <w:name w:val="heading 2"/>
    <w:basedOn w:val="1"/>
    <w:next w:val="1"/>
    <w:link w:val="60"/>
    <w:qFormat/>
    <w:uiPriority w:val="0"/>
    <w:pPr>
      <w:keepNext/>
      <w:keepLines/>
      <w:adjustRightInd w:val="0"/>
      <w:spacing w:before="260" w:after="260" w:line="416" w:lineRule="auto"/>
      <w:outlineLvl w:val="1"/>
    </w:pPr>
    <w:rPr>
      <w:rFonts w:ascii="Arial" w:hAnsi="Arial" w:eastAsia="黑体" w:cs="Times New Roman"/>
      <w:b/>
      <w:bCs/>
      <w:sz w:val="32"/>
      <w:szCs w:val="32"/>
    </w:rPr>
  </w:style>
  <w:style w:type="paragraph" w:styleId="4">
    <w:name w:val="heading 3"/>
    <w:basedOn w:val="1"/>
    <w:next w:val="1"/>
    <w:link w:val="61"/>
    <w:qFormat/>
    <w:uiPriority w:val="0"/>
    <w:pPr>
      <w:keepNext/>
      <w:keepLines/>
      <w:adjustRightInd w:val="0"/>
      <w:spacing w:before="260" w:after="260" w:line="416" w:lineRule="auto"/>
      <w:outlineLvl w:val="2"/>
    </w:pPr>
    <w:rPr>
      <w:rFonts w:ascii="Calibri" w:hAnsi="Calibri" w:eastAsia="宋体" w:cs="Times New Roman"/>
      <w:b/>
      <w:bCs/>
      <w:sz w:val="32"/>
      <w:szCs w:val="32"/>
    </w:rPr>
  </w:style>
  <w:style w:type="paragraph" w:styleId="5">
    <w:name w:val="heading 4"/>
    <w:basedOn w:val="1"/>
    <w:next w:val="1"/>
    <w:link w:val="62"/>
    <w:autoRedefine/>
    <w:qFormat/>
    <w:uiPriority w:val="0"/>
    <w:pPr>
      <w:keepNext/>
      <w:keepLines/>
      <w:adjustRightInd w:val="0"/>
      <w:spacing w:before="280" w:after="290" w:line="376" w:lineRule="auto"/>
      <w:outlineLvl w:val="3"/>
    </w:pPr>
    <w:rPr>
      <w:rFonts w:ascii="Arial" w:hAnsi="Arial" w:eastAsia="黑体" w:cs="Times New Roman"/>
      <w:b/>
      <w:bCs/>
      <w:sz w:val="28"/>
      <w:szCs w:val="28"/>
    </w:rPr>
  </w:style>
  <w:style w:type="paragraph" w:styleId="6">
    <w:name w:val="heading 5"/>
    <w:basedOn w:val="1"/>
    <w:next w:val="1"/>
    <w:link w:val="63"/>
    <w:qFormat/>
    <w:uiPriority w:val="0"/>
    <w:pPr>
      <w:keepNext/>
      <w:keepLines/>
      <w:spacing w:before="280" w:after="290" w:line="376" w:lineRule="auto"/>
      <w:outlineLvl w:val="4"/>
    </w:pPr>
    <w:rPr>
      <w:rFonts w:ascii="Calibri" w:hAnsi="Calibri" w:eastAsia="宋体" w:cs="Times New Roman"/>
      <w:b/>
      <w:bCs/>
      <w:sz w:val="28"/>
      <w:szCs w:val="28"/>
    </w:rPr>
  </w:style>
  <w:style w:type="paragraph" w:styleId="7">
    <w:name w:val="heading 6"/>
    <w:basedOn w:val="1"/>
    <w:next w:val="1"/>
    <w:link w:val="64"/>
    <w:autoRedefine/>
    <w:qFormat/>
    <w:uiPriority w:val="0"/>
    <w:pPr>
      <w:keepNext/>
      <w:keepLines/>
      <w:spacing w:before="240" w:after="64" w:line="320" w:lineRule="auto"/>
      <w:outlineLvl w:val="5"/>
    </w:pPr>
    <w:rPr>
      <w:rFonts w:ascii="Arial" w:hAnsi="Arial" w:eastAsia="黑体" w:cs="Times New Roman"/>
      <w:b/>
      <w:bCs/>
      <w:sz w:val="24"/>
      <w:szCs w:val="24"/>
    </w:rPr>
  </w:style>
  <w:style w:type="paragraph" w:styleId="8">
    <w:name w:val="heading 7"/>
    <w:basedOn w:val="1"/>
    <w:next w:val="1"/>
    <w:link w:val="65"/>
    <w:autoRedefine/>
    <w:qFormat/>
    <w:uiPriority w:val="0"/>
    <w:pPr>
      <w:keepNext/>
      <w:keepLines/>
      <w:spacing w:before="240" w:after="64" w:line="320" w:lineRule="auto"/>
      <w:outlineLvl w:val="6"/>
    </w:pPr>
    <w:rPr>
      <w:rFonts w:ascii="Calibri" w:hAnsi="Calibri" w:eastAsia="宋体" w:cs="Times New Roman"/>
      <w:b/>
      <w:bCs/>
      <w:sz w:val="24"/>
      <w:szCs w:val="24"/>
    </w:rPr>
  </w:style>
  <w:style w:type="paragraph" w:styleId="9">
    <w:name w:val="heading 8"/>
    <w:basedOn w:val="1"/>
    <w:next w:val="1"/>
    <w:link w:val="66"/>
    <w:autoRedefine/>
    <w:qFormat/>
    <w:uiPriority w:val="0"/>
    <w:pPr>
      <w:keepNext/>
      <w:keepLines/>
      <w:spacing w:before="240" w:after="64" w:line="320" w:lineRule="auto"/>
      <w:outlineLvl w:val="7"/>
    </w:pPr>
    <w:rPr>
      <w:rFonts w:ascii="Arial" w:hAnsi="Arial" w:eastAsia="黑体" w:cs="Times New Roman"/>
      <w:sz w:val="24"/>
      <w:szCs w:val="24"/>
    </w:rPr>
  </w:style>
  <w:style w:type="paragraph" w:styleId="10">
    <w:name w:val="heading 9"/>
    <w:basedOn w:val="1"/>
    <w:next w:val="1"/>
    <w:link w:val="67"/>
    <w:autoRedefine/>
    <w:qFormat/>
    <w:uiPriority w:val="0"/>
    <w:pPr>
      <w:keepNext/>
      <w:keepLines/>
      <w:spacing w:before="240" w:after="64" w:line="320" w:lineRule="auto"/>
      <w:outlineLvl w:val="8"/>
    </w:pPr>
    <w:rPr>
      <w:rFonts w:ascii="Arial" w:hAnsi="Arial" w:eastAsia="黑体" w:cs="Times New Roman"/>
      <w:szCs w:val="21"/>
    </w:rPr>
  </w:style>
  <w:style w:type="character" w:default="1" w:styleId="32">
    <w:name w:val="Default Paragraph Font"/>
    <w:semiHidden/>
    <w:unhideWhenUsed/>
    <w:uiPriority w:val="1"/>
  </w:style>
  <w:style w:type="table" w:default="1" w:styleId="30">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adjustRightInd w:val="0"/>
      <w:spacing w:line="300" w:lineRule="exact"/>
      <w:ind w:left="1259"/>
    </w:pPr>
    <w:rPr>
      <w:rFonts w:ascii="宋体" w:hAnsi="Calibri" w:eastAsia="宋体" w:cs="Times New Roman"/>
      <w:szCs w:val="21"/>
    </w:rPr>
  </w:style>
  <w:style w:type="paragraph" w:styleId="12">
    <w:name w:val="Normal Indent"/>
    <w:basedOn w:val="1"/>
    <w:autoRedefine/>
    <w:qFormat/>
    <w:uiPriority w:val="0"/>
    <w:pPr>
      <w:adjustRightInd w:val="0"/>
      <w:spacing w:line="400" w:lineRule="exact"/>
      <w:ind w:firstLine="420"/>
    </w:pPr>
    <w:rPr>
      <w:rFonts w:ascii="Calibri" w:hAnsi="Calibri" w:eastAsia="宋体" w:cs="Times New Roman"/>
      <w:szCs w:val="21"/>
    </w:rPr>
  </w:style>
  <w:style w:type="paragraph" w:styleId="13">
    <w:name w:val="caption"/>
    <w:basedOn w:val="1"/>
    <w:next w:val="1"/>
    <w:autoRedefine/>
    <w:qFormat/>
    <w:uiPriority w:val="0"/>
    <w:pPr>
      <w:spacing w:before="152" w:after="160"/>
      <w:jc w:val="center"/>
    </w:pPr>
    <w:rPr>
      <w:rFonts w:ascii="Arial" w:hAnsi="Arial" w:eastAsia="黑体" w:cs="Arial"/>
      <w:szCs w:val="20"/>
    </w:rPr>
  </w:style>
  <w:style w:type="paragraph" w:styleId="14">
    <w:name w:val="Body Text"/>
    <w:basedOn w:val="1"/>
    <w:link w:val="68"/>
    <w:autoRedefine/>
    <w:qFormat/>
    <w:uiPriority w:val="0"/>
    <w:pPr>
      <w:adjustRightInd w:val="0"/>
      <w:spacing w:after="120" w:line="400" w:lineRule="exact"/>
    </w:pPr>
    <w:rPr>
      <w:rFonts w:ascii="Calibri" w:hAnsi="Calibri" w:eastAsia="宋体" w:cs="Times New Roman"/>
      <w:szCs w:val="21"/>
    </w:rPr>
  </w:style>
  <w:style w:type="paragraph" w:styleId="15">
    <w:name w:val="toc 5"/>
    <w:basedOn w:val="1"/>
    <w:next w:val="1"/>
    <w:autoRedefine/>
    <w:unhideWhenUsed/>
    <w:qFormat/>
    <w:uiPriority w:val="39"/>
    <w:pPr>
      <w:adjustRightInd w:val="0"/>
      <w:spacing w:line="400" w:lineRule="exact"/>
      <w:ind w:left="839"/>
    </w:pPr>
    <w:rPr>
      <w:rFonts w:ascii="宋体" w:hAnsi="Calibri" w:eastAsia="宋体" w:cs="Times New Roman"/>
      <w:szCs w:val="21"/>
    </w:rPr>
  </w:style>
  <w:style w:type="paragraph" w:styleId="16">
    <w:name w:val="toc 3"/>
    <w:basedOn w:val="1"/>
    <w:next w:val="1"/>
    <w:autoRedefine/>
    <w:unhideWhenUsed/>
    <w:uiPriority w:val="39"/>
    <w:pPr>
      <w:adjustRightInd w:val="0"/>
      <w:spacing w:line="300" w:lineRule="exact"/>
      <w:ind w:left="420"/>
    </w:pPr>
    <w:rPr>
      <w:rFonts w:ascii="宋体" w:hAnsi="Calibri" w:eastAsia="宋体" w:cs="Times New Roman"/>
      <w:szCs w:val="21"/>
    </w:rPr>
  </w:style>
  <w:style w:type="paragraph" w:styleId="17">
    <w:name w:val="Balloon Text"/>
    <w:basedOn w:val="1"/>
    <w:link w:val="69"/>
    <w:autoRedefine/>
    <w:semiHidden/>
    <w:unhideWhenUsed/>
    <w:qFormat/>
    <w:uiPriority w:val="99"/>
    <w:pPr>
      <w:adjustRightInd w:val="0"/>
      <w:spacing w:line="400" w:lineRule="exact"/>
    </w:pPr>
    <w:rPr>
      <w:rFonts w:ascii="Calibri" w:hAnsi="Calibri" w:eastAsia="宋体" w:cs="Times New Roman"/>
      <w:sz w:val="18"/>
      <w:szCs w:val="18"/>
    </w:rPr>
  </w:style>
  <w:style w:type="paragraph" w:styleId="18">
    <w:name w:val="footer"/>
    <w:basedOn w:val="1"/>
    <w:link w:val="39"/>
    <w:autoRedefine/>
    <w:unhideWhenUsed/>
    <w:qFormat/>
    <w:uiPriority w:val="99"/>
    <w:pPr>
      <w:tabs>
        <w:tab w:val="center" w:pos="4153"/>
        <w:tab w:val="right" w:pos="8306"/>
      </w:tabs>
      <w:snapToGrid w:val="0"/>
      <w:jc w:val="left"/>
    </w:pPr>
    <w:rPr>
      <w:sz w:val="18"/>
      <w:szCs w:val="18"/>
    </w:rPr>
  </w:style>
  <w:style w:type="paragraph" w:styleId="19">
    <w:name w:val="header"/>
    <w:basedOn w:val="1"/>
    <w:link w:val="3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unhideWhenUsed/>
    <w:qFormat/>
    <w:uiPriority w:val="39"/>
    <w:pPr>
      <w:adjustRightInd w:val="0"/>
      <w:spacing w:line="400" w:lineRule="exact"/>
    </w:pPr>
    <w:rPr>
      <w:rFonts w:ascii="宋体" w:hAnsi="Calibri" w:eastAsia="宋体" w:cs="Times New Roman"/>
      <w:szCs w:val="21"/>
    </w:rPr>
  </w:style>
  <w:style w:type="paragraph" w:styleId="21">
    <w:name w:val="toc 4"/>
    <w:basedOn w:val="1"/>
    <w:next w:val="1"/>
    <w:autoRedefine/>
    <w:unhideWhenUsed/>
    <w:qFormat/>
    <w:uiPriority w:val="39"/>
    <w:pPr>
      <w:tabs>
        <w:tab w:val="right" w:leader="dot" w:pos="9344"/>
      </w:tabs>
      <w:adjustRightInd w:val="0"/>
      <w:spacing w:line="300" w:lineRule="exact"/>
      <w:ind w:left="629"/>
    </w:pPr>
    <w:rPr>
      <w:rFonts w:ascii="宋体" w:hAnsi="Calibri" w:eastAsia="宋体" w:cs="Times New Roman"/>
      <w:szCs w:val="21"/>
    </w:rPr>
  </w:style>
  <w:style w:type="paragraph" w:styleId="22">
    <w:name w:val="footnote text"/>
    <w:basedOn w:val="1"/>
    <w:next w:val="1"/>
    <w:link w:val="70"/>
    <w:autoRedefine/>
    <w:semiHidden/>
    <w:qFormat/>
    <w:uiPriority w:val="0"/>
    <w:pPr>
      <w:snapToGrid w:val="0"/>
      <w:spacing w:line="300" w:lineRule="exact"/>
      <w:ind w:left="400" w:leftChars="200" w:hanging="200" w:hangingChars="200"/>
      <w:jc w:val="left"/>
    </w:pPr>
    <w:rPr>
      <w:rFonts w:ascii="宋体" w:hAnsi="Calibri" w:eastAsia="宋体" w:cs="Times New Roman"/>
      <w:sz w:val="18"/>
      <w:szCs w:val="18"/>
    </w:rPr>
  </w:style>
  <w:style w:type="paragraph" w:styleId="23">
    <w:name w:val="toc 6"/>
    <w:basedOn w:val="1"/>
    <w:next w:val="1"/>
    <w:autoRedefine/>
    <w:unhideWhenUsed/>
    <w:qFormat/>
    <w:uiPriority w:val="39"/>
    <w:pPr>
      <w:adjustRightInd w:val="0"/>
      <w:spacing w:line="300" w:lineRule="exact"/>
      <w:ind w:left="1049"/>
    </w:pPr>
    <w:rPr>
      <w:rFonts w:ascii="宋体" w:hAnsi="Calibri" w:eastAsia="宋体" w:cs="Times New Roman"/>
      <w:szCs w:val="21"/>
    </w:rPr>
  </w:style>
  <w:style w:type="paragraph" w:styleId="24">
    <w:name w:val="index 9"/>
    <w:basedOn w:val="1"/>
    <w:next w:val="1"/>
    <w:autoRedefine/>
    <w:qFormat/>
    <w:uiPriority w:val="0"/>
    <w:pPr>
      <w:ind w:left="1890" w:hanging="210"/>
      <w:jc w:val="left"/>
    </w:pPr>
    <w:rPr>
      <w:rFonts w:ascii="Calibri" w:hAnsi="Calibri" w:eastAsia="宋体" w:cs="Times New Roman"/>
      <w:sz w:val="20"/>
      <w:szCs w:val="20"/>
    </w:rPr>
  </w:style>
  <w:style w:type="paragraph" w:styleId="25">
    <w:name w:val="table of figures"/>
    <w:basedOn w:val="1"/>
    <w:next w:val="1"/>
    <w:autoRedefine/>
    <w:semiHidden/>
    <w:qFormat/>
    <w:uiPriority w:val="0"/>
    <w:pPr>
      <w:jc w:val="left"/>
    </w:pPr>
    <w:rPr>
      <w:rFonts w:ascii="Calibri" w:hAnsi="Calibri" w:eastAsia="宋体" w:cs="Times New Roman"/>
      <w:szCs w:val="24"/>
    </w:rPr>
  </w:style>
  <w:style w:type="paragraph" w:styleId="26">
    <w:name w:val="toc 2"/>
    <w:basedOn w:val="1"/>
    <w:next w:val="1"/>
    <w:unhideWhenUsed/>
    <w:uiPriority w:val="39"/>
    <w:pPr>
      <w:tabs>
        <w:tab w:val="right" w:leader="dot" w:pos="9344"/>
      </w:tabs>
      <w:adjustRightInd w:val="0"/>
      <w:spacing w:line="300" w:lineRule="exact"/>
      <w:ind w:left="210"/>
    </w:pPr>
    <w:rPr>
      <w:rFonts w:ascii="宋体" w:hAnsi="Calibri" w:eastAsia="宋体" w:cs="Times New Roman"/>
      <w:szCs w:val="21"/>
    </w:rPr>
  </w:style>
  <w:style w:type="paragraph" w:styleId="27">
    <w:name w:val="toc 9"/>
    <w:basedOn w:val="1"/>
    <w:next w:val="1"/>
    <w:autoRedefine/>
    <w:semiHidden/>
    <w:unhideWhenUsed/>
    <w:qFormat/>
    <w:uiPriority w:val="0"/>
    <w:pPr>
      <w:adjustRightInd w:val="0"/>
      <w:spacing w:line="400" w:lineRule="exact"/>
      <w:ind w:left="3360" w:leftChars="1600"/>
    </w:pPr>
    <w:rPr>
      <w:rFonts w:ascii="Calibri" w:hAnsi="Calibri" w:eastAsia="宋体" w:cs="Times New Roman"/>
      <w:szCs w:val="21"/>
    </w:rPr>
  </w:style>
  <w:style w:type="paragraph" w:styleId="28">
    <w:name w:val="Normal (Web)"/>
    <w:basedOn w:val="1"/>
    <w:autoRedefine/>
    <w:unhideWhenUsed/>
    <w:qFormat/>
    <w:uiPriority w:val="99"/>
    <w:pPr>
      <w:widowControl/>
      <w:spacing w:before="100" w:beforeAutospacing="1" w:after="100" w:afterAutospacing="1"/>
      <w:jc w:val="left"/>
    </w:pPr>
    <w:rPr>
      <w:rFonts w:ascii="宋体" w:hAnsi="宋体" w:eastAsia="宋体" w:cs="宋体"/>
      <w:color w:val="000000"/>
      <w:kern w:val="0"/>
      <w:sz w:val="24"/>
      <w:szCs w:val="24"/>
    </w:rPr>
  </w:style>
  <w:style w:type="paragraph" w:styleId="29">
    <w:name w:val="Title"/>
    <w:basedOn w:val="1"/>
    <w:link w:val="71"/>
    <w:autoRedefine/>
    <w:qFormat/>
    <w:uiPriority w:val="0"/>
    <w:pPr>
      <w:adjustRightInd w:val="0"/>
      <w:spacing w:before="240" w:after="60" w:line="400" w:lineRule="exact"/>
      <w:jc w:val="center"/>
      <w:outlineLvl w:val="0"/>
    </w:pPr>
    <w:rPr>
      <w:rFonts w:ascii="Arial" w:hAnsi="Arial" w:eastAsia="宋体" w:cs="Arial"/>
      <w:b/>
      <w:bCs/>
      <w:sz w:val="32"/>
      <w:szCs w:val="32"/>
    </w:rPr>
  </w:style>
  <w:style w:type="table" w:styleId="31">
    <w:name w:val="Table Grid"/>
    <w:basedOn w:val="30"/>
    <w:autoRedefine/>
    <w:qFormat/>
    <w:uiPriority w:val="0"/>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autoRedefine/>
    <w:qFormat/>
    <w:uiPriority w:val="22"/>
    <w:rPr>
      <w:b/>
      <w:bCs/>
    </w:rPr>
  </w:style>
  <w:style w:type="character" w:styleId="34">
    <w:name w:val="page number"/>
    <w:autoRedefine/>
    <w:qFormat/>
    <w:uiPriority w:val="0"/>
    <w:rPr>
      <w:rFonts w:ascii="宋体" w:hAnsi="Times New Roman" w:eastAsia="宋体"/>
      <w:sz w:val="18"/>
    </w:rPr>
  </w:style>
  <w:style w:type="character" w:styleId="35">
    <w:name w:val="Emphasis"/>
    <w:autoRedefine/>
    <w:qFormat/>
    <w:uiPriority w:val="20"/>
    <w:rPr>
      <w:i/>
      <w:iCs/>
    </w:rPr>
  </w:style>
  <w:style w:type="character" w:styleId="36">
    <w:name w:val="Hyperlink"/>
    <w:autoRedefine/>
    <w:qFormat/>
    <w:uiPriority w:val="99"/>
    <w:rPr>
      <w:rFonts w:ascii="宋体" w:hAnsi="Times New Roman" w:eastAsia="宋体"/>
      <w:color w:val="auto"/>
      <w:spacing w:val="0"/>
      <w:w w:val="100"/>
      <w:position w:val="0"/>
      <w:sz w:val="21"/>
      <w:u w:val="none"/>
      <w:vertAlign w:val="baseline"/>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页眉 字符"/>
    <w:basedOn w:val="32"/>
    <w:link w:val="19"/>
    <w:qFormat/>
    <w:uiPriority w:val="99"/>
    <w:rPr>
      <w:sz w:val="18"/>
      <w:szCs w:val="18"/>
    </w:rPr>
  </w:style>
  <w:style w:type="character" w:customStyle="1" w:styleId="39">
    <w:name w:val="页脚 字符"/>
    <w:basedOn w:val="32"/>
    <w:link w:val="18"/>
    <w:uiPriority w:val="99"/>
    <w:rPr>
      <w:sz w:val="18"/>
      <w:szCs w:val="18"/>
    </w:rPr>
  </w:style>
  <w:style w:type="paragraph" w:customStyle="1" w:styleId="40">
    <w:name w:val="段"/>
    <w:link w:val="4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41">
    <w:name w:val="段 Char"/>
    <w:link w:val="40"/>
    <w:qFormat/>
    <w:uiPriority w:val="0"/>
    <w:rPr>
      <w:rFonts w:ascii="宋体" w:hAnsi="Times New Roman" w:eastAsia="宋体" w:cs="Times New Roman"/>
      <w:kern w:val="0"/>
      <w:szCs w:val="20"/>
    </w:rPr>
  </w:style>
  <w:style w:type="paragraph" w:customStyle="1" w:styleId="42">
    <w:name w:val="发布部门"/>
    <w:next w:val="40"/>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kern w:val="0"/>
      <w:sz w:val="28"/>
      <w:szCs w:val="20"/>
      <w:lang w:val="en-US" w:eastAsia="zh-CN" w:bidi="ar-SA"/>
    </w:rPr>
  </w:style>
  <w:style w:type="paragraph" w:customStyle="1" w:styleId="43">
    <w:name w:val="封面标准英文名称"/>
    <w:basedOn w:val="1"/>
    <w:autoRedefine/>
    <w:qFormat/>
    <w:uiPriority w:val="0"/>
    <w:pPr>
      <w:framePr w:w="9639" w:h="6917" w:hRule="exact" w:wrap="around" w:vAnchor="page" w:hAnchor="page" w:xAlign="center" w:y="6408" w:anchorLock="1"/>
      <w:spacing w:before="370" w:line="400" w:lineRule="exact"/>
      <w:jc w:val="center"/>
      <w:textAlignment w:val="center"/>
    </w:pPr>
    <w:rPr>
      <w:rFonts w:ascii="Times New Roman" w:hAnsi="Times New Roman" w:eastAsia="黑体" w:cs="Times New Roman"/>
      <w:kern w:val="0"/>
      <w:sz w:val="28"/>
      <w:szCs w:val="28"/>
    </w:rPr>
  </w:style>
  <w:style w:type="paragraph" w:customStyle="1" w:styleId="44">
    <w:name w:val="其他发布日期"/>
    <w:basedOn w:val="1"/>
    <w:autoRedefine/>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45">
    <w:name w:val="其他实施日期"/>
    <w:basedOn w:val="1"/>
    <w:autoRedefine/>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46">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customStyle="1" w:styleId="47">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kern w:val="0"/>
      <w:sz w:val="48"/>
      <w:szCs w:val="20"/>
      <w:lang w:val="en-US" w:eastAsia="zh-CN" w:bidi="ar-SA"/>
    </w:rPr>
  </w:style>
  <w:style w:type="paragraph" w:customStyle="1" w:styleId="48">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49">
    <w:name w:val="前言、引言标题"/>
    <w:next w:val="40"/>
    <w:autoRedefine/>
    <w:qFormat/>
    <w:uiPriority w:val="0"/>
    <w:pPr>
      <w:keepNext/>
      <w:pageBreakBefore/>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50">
    <w:name w:val="一级条标题"/>
    <w:next w:val="40"/>
    <w:autoRedefine/>
    <w:qFormat/>
    <w:uiPriority w:val="0"/>
    <w:pPr>
      <w:numPr>
        <w:ilvl w:val="1"/>
        <w:numId w:val="1"/>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51">
    <w:name w:val="章标题"/>
    <w:next w:val="40"/>
    <w:autoRedefine/>
    <w:qFormat/>
    <w:uiPriority w:val="0"/>
    <w:pPr>
      <w:numPr>
        <w:ilvl w:val="0"/>
        <w:numId w:val="1"/>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52">
    <w:name w:val="二级条标题"/>
    <w:basedOn w:val="50"/>
    <w:next w:val="40"/>
    <w:autoRedefine/>
    <w:qFormat/>
    <w:uiPriority w:val="0"/>
    <w:pPr>
      <w:numPr>
        <w:ilvl w:val="2"/>
      </w:numPr>
      <w:spacing w:before="50" w:after="50"/>
      <w:outlineLvl w:val="3"/>
    </w:pPr>
  </w:style>
  <w:style w:type="paragraph" w:customStyle="1" w:styleId="53">
    <w:name w:val="目次、标准名称标题"/>
    <w:basedOn w:val="1"/>
    <w:next w:val="40"/>
    <w:autoRedefine/>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54">
    <w:name w:val="三级条标题"/>
    <w:basedOn w:val="52"/>
    <w:next w:val="40"/>
    <w:autoRedefine/>
    <w:uiPriority w:val="0"/>
    <w:pPr>
      <w:numPr>
        <w:ilvl w:val="3"/>
      </w:numPr>
      <w:outlineLvl w:val="4"/>
    </w:pPr>
  </w:style>
  <w:style w:type="paragraph" w:customStyle="1" w:styleId="55">
    <w:name w:val="四级条标题"/>
    <w:basedOn w:val="54"/>
    <w:next w:val="40"/>
    <w:autoRedefine/>
    <w:qFormat/>
    <w:uiPriority w:val="0"/>
    <w:pPr>
      <w:numPr>
        <w:ilvl w:val="4"/>
      </w:numPr>
      <w:outlineLvl w:val="5"/>
    </w:pPr>
  </w:style>
  <w:style w:type="paragraph" w:customStyle="1" w:styleId="56">
    <w:name w:val="五级条标题"/>
    <w:basedOn w:val="55"/>
    <w:next w:val="40"/>
    <w:autoRedefine/>
    <w:qFormat/>
    <w:uiPriority w:val="0"/>
    <w:pPr>
      <w:numPr>
        <w:ilvl w:val="5"/>
      </w:numPr>
      <w:outlineLvl w:val="6"/>
    </w:pPr>
  </w:style>
  <w:style w:type="paragraph" w:customStyle="1" w:styleId="57">
    <w:name w:val="正文表标题"/>
    <w:next w:val="40"/>
    <w:autoRedefine/>
    <w:qFormat/>
    <w:uiPriority w:val="0"/>
    <w:pPr>
      <w:numPr>
        <w:ilvl w:val="0"/>
        <w:numId w:val="2"/>
      </w:numPr>
      <w:tabs>
        <w:tab w:val="left" w:pos="360"/>
      </w:tabs>
      <w:spacing w:before="156" w:beforeLines="50" w:after="156" w:afterLines="50"/>
      <w:jc w:val="center"/>
    </w:pPr>
    <w:rPr>
      <w:rFonts w:ascii="黑体" w:hAnsi="Times New Roman" w:eastAsia="黑体" w:cs="Times New Roman"/>
      <w:kern w:val="0"/>
      <w:sz w:val="21"/>
      <w:szCs w:val="20"/>
      <w:lang w:val="en-US" w:eastAsia="zh-CN" w:bidi="ar-SA"/>
    </w:rPr>
  </w:style>
  <w:style w:type="paragraph" w:customStyle="1" w:styleId="58">
    <w:name w:val="标准书眉_奇数页"/>
    <w:next w:val="1"/>
    <w:autoRedefine/>
    <w:qFormat/>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character" w:customStyle="1" w:styleId="59">
    <w:name w:val="标题 1 字符"/>
    <w:basedOn w:val="32"/>
    <w:link w:val="2"/>
    <w:autoRedefine/>
    <w:qFormat/>
    <w:uiPriority w:val="0"/>
    <w:rPr>
      <w:rFonts w:ascii="Calibri" w:hAnsi="Calibri" w:eastAsia="宋体" w:cs="Times New Roman"/>
      <w:b/>
      <w:bCs/>
      <w:kern w:val="44"/>
      <w:sz w:val="44"/>
      <w:szCs w:val="44"/>
    </w:rPr>
  </w:style>
  <w:style w:type="character" w:customStyle="1" w:styleId="60">
    <w:name w:val="标题 2 字符"/>
    <w:basedOn w:val="32"/>
    <w:link w:val="3"/>
    <w:autoRedefine/>
    <w:qFormat/>
    <w:uiPriority w:val="0"/>
    <w:rPr>
      <w:rFonts w:ascii="Arial" w:hAnsi="Arial" w:eastAsia="黑体" w:cs="Times New Roman"/>
      <w:b/>
      <w:bCs/>
      <w:sz w:val="32"/>
      <w:szCs w:val="32"/>
    </w:rPr>
  </w:style>
  <w:style w:type="character" w:customStyle="1" w:styleId="61">
    <w:name w:val="标题 3 字符"/>
    <w:basedOn w:val="32"/>
    <w:link w:val="4"/>
    <w:autoRedefine/>
    <w:qFormat/>
    <w:uiPriority w:val="0"/>
    <w:rPr>
      <w:rFonts w:ascii="Calibri" w:hAnsi="Calibri" w:eastAsia="宋体" w:cs="Times New Roman"/>
      <w:b/>
      <w:bCs/>
      <w:sz w:val="32"/>
      <w:szCs w:val="32"/>
    </w:rPr>
  </w:style>
  <w:style w:type="character" w:customStyle="1" w:styleId="62">
    <w:name w:val="标题 4 字符"/>
    <w:basedOn w:val="32"/>
    <w:link w:val="5"/>
    <w:autoRedefine/>
    <w:qFormat/>
    <w:uiPriority w:val="0"/>
    <w:rPr>
      <w:rFonts w:ascii="Arial" w:hAnsi="Arial" w:eastAsia="黑体" w:cs="Times New Roman"/>
      <w:b/>
      <w:bCs/>
      <w:sz w:val="28"/>
      <w:szCs w:val="28"/>
    </w:rPr>
  </w:style>
  <w:style w:type="character" w:customStyle="1" w:styleId="63">
    <w:name w:val="标题 5 字符"/>
    <w:basedOn w:val="32"/>
    <w:link w:val="6"/>
    <w:autoRedefine/>
    <w:qFormat/>
    <w:uiPriority w:val="0"/>
    <w:rPr>
      <w:rFonts w:ascii="Calibri" w:hAnsi="Calibri" w:eastAsia="宋体" w:cs="Times New Roman"/>
      <w:b/>
      <w:bCs/>
      <w:sz w:val="28"/>
      <w:szCs w:val="28"/>
    </w:rPr>
  </w:style>
  <w:style w:type="character" w:customStyle="1" w:styleId="64">
    <w:name w:val="标题 6 字符"/>
    <w:basedOn w:val="32"/>
    <w:link w:val="7"/>
    <w:autoRedefine/>
    <w:qFormat/>
    <w:uiPriority w:val="0"/>
    <w:rPr>
      <w:rFonts w:ascii="Arial" w:hAnsi="Arial" w:eastAsia="黑体" w:cs="Times New Roman"/>
      <w:b/>
      <w:bCs/>
      <w:sz w:val="24"/>
      <w:szCs w:val="24"/>
    </w:rPr>
  </w:style>
  <w:style w:type="character" w:customStyle="1" w:styleId="65">
    <w:name w:val="标题 7 字符"/>
    <w:basedOn w:val="32"/>
    <w:link w:val="8"/>
    <w:autoRedefine/>
    <w:qFormat/>
    <w:uiPriority w:val="0"/>
    <w:rPr>
      <w:rFonts w:ascii="Calibri" w:hAnsi="Calibri" w:eastAsia="宋体" w:cs="Times New Roman"/>
      <w:b/>
      <w:bCs/>
      <w:sz w:val="24"/>
      <w:szCs w:val="24"/>
    </w:rPr>
  </w:style>
  <w:style w:type="character" w:customStyle="1" w:styleId="66">
    <w:name w:val="标题 8 字符"/>
    <w:basedOn w:val="32"/>
    <w:link w:val="9"/>
    <w:autoRedefine/>
    <w:qFormat/>
    <w:uiPriority w:val="0"/>
    <w:rPr>
      <w:rFonts w:ascii="Arial" w:hAnsi="Arial" w:eastAsia="黑体" w:cs="Times New Roman"/>
      <w:sz w:val="24"/>
      <w:szCs w:val="24"/>
    </w:rPr>
  </w:style>
  <w:style w:type="character" w:customStyle="1" w:styleId="67">
    <w:name w:val="标题 9 字符"/>
    <w:basedOn w:val="32"/>
    <w:link w:val="10"/>
    <w:autoRedefine/>
    <w:qFormat/>
    <w:uiPriority w:val="0"/>
    <w:rPr>
      <w:rFonts w:ascii="Arial" w:hAnsi="Arial" w:eastAsia="黑体" w:cs="Times New Roman"/>
      <w:szCs w:val="21"/>
    </w:rPr>
  </w:style>
  <w:style w:type="character" w:customStyle="1" w:styleId="68">
    <w:name w:val="正文文本 字符"/>
    <w:basedOn w:val="32"/>
    <w:link w:val="14"/>
    <w:autoRedefine/>
    <w:qFormat/>
    <w:uiPriority w:val="0"/>
    <w:rPr>
      <w:rFonts w:ascii="Calibri" w:hAnsi="Calibri" w:eastAsia="宋体" w:cs="Times New Roman"/>
      <w:szCs w:val="21"/>
    </w:rPr>
  </w:style>
  <w:style w:type="character" w:customStyle="1" w:styleId="69">
    <w:name w:val="批注框文本 字符"/>
    <w:basedOn w:val="32"/>
    <w:link w:val="17"/>
    <w:autoRedefine/>
    <w:semiHidden/>
    <w:qFormat/>
    <w:uiPriority w:val="99"/>
    <w:rPr>
      <w:rFonts w:ascii="Calibri" w:hAnsi="Calibri" w:eastAsia="宋体" w:cs="Times New Roman"/>
      <w:sz w:val="18"/>
      <w:szCs w:val="18"/>
    </w:rPr>
  </w:style>
  <w:style w:type="character" w:customStyle="1" w:styleId="70">
    <w:name w:val="脚注文本 字符"/>
    <w:basedOn w:val="32"/>
    <w:link w:val="22"/>
    <w:autoRedefine/>
    <w:semiHidden/>
    <w:qFormat/>
    <w:uiPriority w:val="0"/>
    <w:rPr>
      <w:rFonts w:ascii="宋体" w:hAnsi="Calibri" w:eastAsia="宋体" w:cs="Times New Roman"/>
      <w:sz w:val="18"/>
      <w:szCs w:val="18"/>
    </w:rPr>
  </w:style>
  <w:style w:type="character" w:customStyle="1" w:styleId="71">
    <w:name w:val="标题 字符"/>
    <w:basedOn w:val="32"/>
    <w:link w:val="29"/>
    <w:autoRedefine/>
    <w:qFormat/>
    <w:uiPriority w:val="0"/>
    <w:rPr>
      <w:rFonts w:ascii="Arial" w:hAnsi="Arial" w:eastAsia="宋体" w:cs="Arial"/>
      <w:b/>
      <w:bCs/>
      <w:sz w:val="32"/>
      <w:szCs w:val="32"/>
    </w:rPr>
  </w:style>
  <w:style w:type="paragraph" w:styleId="72">
    <w:name w:val="Quote"/>
    <w:basedOn w:val="1"/>
    <w:next w:val="1"/>
    <w:link w:val="73"/>
    <w:autoRedefine/>
    <w:qFormat/>
    <w:uiPriority w:val="29"/>
    <w:pPr>
      <w:adjustRightInd w:val="0"/>
      <w:spacing w:line="400" w:lineRule="exact"/>
    </w:pPr>
    <w:rPr>
      <w:rFonts w:ascii="Calibri" w:hAnsi="Calibri" w:eastAsia="宋体" w:cs="Times New Roman"/>
      <w:i/>
      <w:iCs/>
      <w:color w:val="000000"/>
      <w:szCs w:val="21"/>
    </w:rPr>
  </w:style>
  <w:style w:type="character" w:customStyle="1" w:styleId="73">
    <w:name w:val="引用 字符"/>
    <w:basedOn w:val="32"/>
    <w:link w:val="72"/>
    <w:autoRedefine/>
    <w:qFormat/>
    <w:uiPriority w:val="29"/>
    <w:rPr>
      <w:rFonts w:ascii="Calibri" w:hAnsi="Calibri" w:eastAsia="宋体" w:cs="Times New Roman"/>
      <w:i/>
      <w:iCs/>
      <w:color w:val="000000"/>
      <w:szCs w:val="21"/>
    </w:rPr>
  </w:style>
  <w:style w:type="paragraph" w:customStyle="1" w:styleId="74">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75">
    <w:name w:val="标准文件_页脚偶数页"/>
    <w:autoRedefine/>
    <w:qFormat/>
    <w:uiPriority w:val="0"/>
    <w:pPr>
      <w:ind w:left="227"/>
    </w:pPr>
    <w:rPr>
      <w:rFonts w:ascii="宋体" w:hAnsi="Times New Roman" w:eastAsia="宋体" w:cs="Times New Roman"/>
      <w:kern w:val="0"/>
      <w:sz w:val="18"/>
      <w:szCs w:val="20"/>
      <w:lang w:val="en-US" w:eastAsia="zh-CN" w:bidi="ar-SA"/>
    </w:rPr>
  </w:style>
  <w:style w:type="paragraph" w:customStyle="1" w:styleId="76">
    <w:name w:val="标准文件_页脚奇数页"/>
    <w:autoRedefine/>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77">
    <w:name w:val="标准书眉一"/>
    <w:autoRedefine/>
    <w:qFormat/>
    <w:uiPriority w:val="0"/>
    <w:pPr>
      <w:jc w:val="both"/>
    </w:pPr>
    <w:rPr>
      <w:rFonts w:ascii="Times New Roman" w:hAnsi="Times New Roman" w:eastAsia="宋体" w:cs="Times New Roman"/>
      <w:kern w:val="0"/>
      <w:sz w:val="20"/>
      <w:szCs w:val="20"/>
      <w:lang w:val="en-US" w:eastAsia="zh-CN" w:bidi="ar-SA"/>
    </w:rPr>
  </w:style>
  <w:style w:type="paragraph" w:customStyle="1" w:styleId="78">
    <w:name w:val="标准文件_ICS"/>
    <w:basedOn w:val="1"/>
    <w:autoRedefine/>
    <w:qFormat/>
    <w:uiPriority w:val="0"/>
    <w:pPr>
      <w:adjustRightInd w:val="0"/>
      <w:spacing w:line="0" w:lineRule="atLeast"/>
    </w:pPr>
    <w:rPr>
      <w:rFonts w:ascii="黑体" w:hAnsi="宋体" w:eastAsia="黑体" w:cs="Times New Roman"/>
      <w:szCs w:val="21"/>
    </w:rPr>
  </w:style>
  <w:style w:type="paragraph" w:customStyle="1" w:styleId="79">
    <w:name w:val="标准文件_标准正文"/>
    <w:basedOn w:val="1"/>
    <w:next w:val="80"/>
    <w:autoRedefine/>
    <w:qFormat/>
    <w:uiPriority w:val="0"/>
    <w:pPr>
      <w:adjustRightInd w:val="0"/>
      <w:snapToGrid w:val="0"/>
      <w:spacing w:line="400" w:lineRule="exact"/>
      <w:ind w:firstLine="200" w:firstLineChars="200"/>
    </w:pPr>
    <w:rPr>
      <w:rFonts w:ascii="Calibri" w:hAnsi="Calibri" w:eastAsia="宋体" w:cs="Times New Roman"/>
      <w:kern w:val="0"/>
      <w:szCs w:val="21"/>
    </w:rPr>
  </w:style>
  <w:style w:type="paragraph" w:customStyle="1" w:styleId="80">
    <w:name w:val="标准文件_段"/>
    <w:link w:val="203"/>
    <w:autoRedefine/>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81">
    <w:name w:val="标准文件_版本"/>
    <w:basedOn w:val="79"/>
    <w:autoRedefine/>
    <w:qFormat/>
    <w:uiPriority w:val="0"/>
    <w:pPr>
      <w:adjustRightInd/>
      <w:snapToGrid/>
      <w:ind w:firstLine="0" w:firstLineChars="0"/>
    </w:pPr>
    <w:rPr>
      <w:rFonts w:ascii="宋体" w:hAnsi="宋体"/>
      <w:kern w:val="2"/>
    </w:rPr>
  </w:style>
  <w:style w:type="paragraph" w:customStyle="1" w:styleId="82">
    <w:name w:val="标准文件_标准部门"/>
    <w:basedOn w:val="1"/>
    <w:uiPriority w:val="0"/>
    <w:pPr>
      <w:adjustRightInd w:val="0"/>
      <w:spacing w:line="400" w:lineRule="exact"/>
      <w:jc w:val="center"/>
    </w:pPr>
    <w:rPr>
      <w:rFonts w:ascii="黑体" w:hAnsi="Calibri" w:eastAsia="黑体" w:cs="Times New Roman"/>
      <w:kern w:val="0"/>
      <w:sz w:val="44"/>
      <w:szCs w:val="21"/>
    </w:rPr>
  </w:style>
  <w:style w:type="paragraph" w:customStyle="1" w:styleId="83">
    <w:name w:val="标准文件_标准代替"/>
    <w:basedOn w:val="1"/>
    <w:next w:val="1"/>
    <w:uiPriority w:val="0"/>
    <w:pPr>
      <w:adjustRightInd w:val="0"/>
      <w:spacing w:line="310" w:lineRule="exact"/>
      <w:jc w:val="right"/>
    </w:pPr>
    <w:rPr>
      <w:rFonts w:ascii="宋体" w:hAnsi="宋体" w:eastAsia="宋体" w:cs="Times New Roman"/>
      <w:kern w:val="0"/>
      <w:szCs w:val="21"/>
    </w:rPr>
  </w:style>
  <w:style w:type="paragraph" w:customStyle="1" w:styleId="84">
    <w:name w:val="标准文件_标准名称标题"/>
    <w:basedOn w:val="1"/>
    <w:next w:val="1"/>
    <w:uiPriority w:val="0"/>
    <w:pPr>
      <w:widowControl/>
      <w:shd w:val="clear" w:color="FFFFFF" w:fill="FFFFFF"/>
      <w:spacing w:before="640" w:after="100" w:line="400" w:lineRule="exact"/>
      <w:jc w:val="center"/>
    </w:pPr>
    <w:rPr>
      <w:rFonts w:ascii="黑体" w:hAnsi="Calibri" w:eastAsia="黑体" w:cs="Times New Roman"/>
      <w:kern w:val="0"/>
      <w:sz w:val="32"/>
      <w:szCs w:val="21"/>
    </w:rPr>
  </w:style>
  <w:style w:type="paragraph" w:customStyle="1" w:styleId="85">
    <w:name w:val="标准文件_页眉奇数页"/>
    <w:next w:val="1"/>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86">
    <w:name w:val="标准文件_页眉偶数页"/>
    <w:basedOn w:val="85"/>
    <w:next w:val="1"/>
    <w:uiPriority w:val="0"/>
    <w:pPr>
      <w:jc w:val="left"/>
    </w:pPr>
  </w:style>
  <w:style w:type="paragraph" w:customStyle="1" w:styleId="87">
    <w:name w:val="标准文件_参考文献标题"/>
    <w:basedOn w:val="1"/>
    <w:next w:val="1"/>
    <w:uiPriority w:val="0"/>
    <w:pPr>
      <w:widowControl/>
      <w:shd w:val="clear" w:color="FFFFFF" w:fill="FFFFFF"/>
      <w:spacing w:beforeLines="40" w:afterLines="50"/>
      <w:jc w:val="center"/>
      <w:outlineLvl w:val="0"/>
    </w:pPr>
    <w:rPr>
      <w:rFonts w:ascii="黑体" w:hAnsi="Calibri" w:eastAsia="黑体" w:cs="Times New Roman"/>
      <w:kern w:val="0"/>
      <w:szCs w:val="21"/>
    </w:rPr>
  </w:style>
  <w:style w:type="paragraph" w:customStyle="1" w:styleId="88">
    <w:name w:val="标准文件_参考文献条目"/>
    <w:uiPriority w:val="0"/>
    <w:pPr>
      <w:numPr>
        <w:ilvl w:val="0"/>
        <w:numId w:val="3"/>
      </w:numPr>
    </w:pPr>
    <w:rPr>
      <w:rFonts w:ascii="宋体" w:hAnsi="Times New Roman" w:eastAsia="宋体" w:cs="Times New Roman"/>
      <w:kern w:val="0"/>
      <w:sz w:val="20"/>
      <w:szCs w:val="20"/>
      <w:lang w:val="en-US" w:eastAsia="zh-CN" w:bidi="ar-SA"/>
    </w:rPr>
  </w:style>
  <w:style w:type="paragraph" w:customStyle="1" w:styleId="89">
    <w:name w:val="标准文件_二级条标题"/>
    <w:next w:val="80"/>
    <w:uiPriority w:val="0"/>
    <w:pPr>
      <w:widowControl w:val="0"/>
      <w:numPr>
        <w:ilvl w:val="3"/>
        <w:numId w:val="4"/>
      </w:numPr>
      <w:spacing w:beforeLines="50" w:afterLines="50"/>
      <w:jc w:val="both"/>
      <w:outlineLvl w:val="2"/>
    </w:pPr>
    <w:rPr>
      <w:rFonts w:ascii="黑体" w:hAnsi="Times New Roman" w:eastAsia="黑体" w:cs="Times New Roman"/>
      <w:kern w:val="0"/>
      <w:sz w:val="21"/>
      <w:szCs w:val="20"/>
      <w:lang w:val="en-US" w:eastAsia="zh-CN" w:bidi="ar-SA"/>
    </w:rPr>
  </w:style>
  <w:style w:type="character" w:customStyle="1" w:styleId="90">
    <w:name w:val="标准文件_发布"/>
    <w:uiPriority w:val="0"/>
    <w:rPr>
      <w:rFonts w:ascii="黑体" w:eastAsia="黑体"/>
      <w:spacing w:val="0"/>
      <w:w w:val="100"/>
      <w:position w:val="3"/>
      <w:sz w:val="28"/>
    </w:rPr>
  </w:style>
  <w:style w:type="paragraph" w:customStyle="1" w:styleId="91">
    <w:name w:val="标准文件_方框数字列项"/>
    <w:basedOn w:val="80"/>
    <w:uiPriority w:val="0"/>
    <w:pPr>
      <w:numPr>
        <w:ilvl w:val="0"/>
        <w:numId w:val="5"/>
      </w:numPr>
      <w:tabs>
        <w:tab w:val="left" w:pos="5473"/>
      </w:tabs>
      <w:ind w:left="5473" w:firstLine="0" w:firstLineChars="0"/>
    </w:pPr>
  </w:style>
  <w:style w:type="paragraph" w:customStyle="1" w:styleId="92">
    <w:name w:val="标准文件_封面标准编号"/>
    <w:basedOn w:val="1"/>
    <w:next w:val="83"/>
    <w:qFormat/>
    <w:uiPriority w:val="0"/>
    <w:pPr>
      <w:adjustRightInd w:val="0"/>
      <w:spacing w:line="310" w:lineRule="exact"/>
      <w:jc w:val="right"/>
    </w:pPr>
    <w:rPr>
      <w:rFonts w:ascii="黑体" w:hAnsi="Calibri" w:eastAsia="黑体" w:cs="Times New Roman"/>
      <w:kern w:val="0"/>
      <w:sz w:val="28"/>
      <w:szCs w:val="21"/>
    </w:rPr>
  </w:style>
  <w:style w:type="paragraph" w:customStyle="1" w:styleId="93">
    <w:name w:val="标准文件_封面标准分类号"/>
    <w:basedOn w:val="1"/>
    <w:uiPriority w:val="0"/>
    <w:pPr>
      <w:adjustRightInd w:val="0"/>
      <w:spacing w:line="400" w:lineRule="exact"/>
    </w:pPr>
    <w:rPr>
      <w:rFonts w:ascii="黑体" w:hAnsi="Calibri" w:eastAsia="黑体" w:cs="Times New Roman"/>
      <w:b/>
      <w:kern w:val="0"/>
      <w:sz w:val="28"/>
      <w:szCs w:val="21"/>
    </w:rPr>
  </w:style>
  <w:style w:type="paragraph" w:customStyle="1" w:styleId="94">
    <w:name w:val="标准文件_封面标准名称"/>
    <w:basedOn w:val="1"/>
    <w:uiPriority w:val="0"/>
    <w:pPr>
      <w:adjustRightInd w:val="0"/>
      <w:jc w:val="center"/>
    </w:pPr>
    <w:rPr>
      <w:rFonts w:ascii="黑体" w:hAnsi="Calibri" w:eastAsia="黑体" w:cs="Times New Roman"/>
      <w:kern w:val="0"/>
      <w:sz w:val="52"/>
      <w:szCs w:val="21"/>
    </w:rPr>
  </w:style>
  <w:style w:type="paragraph" w:customStyle="1" w:styleId="95">
    <w:name w:val="标准文件_封面标准英文名称"/>
    <w:basedOn w:val="1"/>
    <w:uiPriority w:val="0"/>
    <w:pPr>
      <w:adjustRightInd w:val="0"/>
      <w:jc w:val="center"/>
    </w:pPr>
    <w:rPr>
      <w:rFonts w:ascii="黑体" w:hAnsi="Calibri" w:eastAsia="黑体" w:cs="Times New Roman"/>
      <w:b/>
      <w:sz w:val="28"/>
      <w:szCs w:val="21"/>
    </w:rPr>
  </w:style>
  <w:style w:type="paragraph" w:customStyle="1" w:styleId="96">
    <w:name w:val="标准文件_封面发布日期"/>
    <w:basedOn w:val="1"/>
    <w:uiPriority w:val="0"/>
    <w:pPr>
      <w:adjustRightInd w:val="0"/>
      <w:spacing w:line="310" w:lineRule="exact"/>
    </w:pPr>
    <w:rPr>
      <w:rFonts w:ascii="黑体" w:hAnsi="Calibri" w:eastAsia="黑体" w:cs="Times New Roman"/>
      <w:kern w:val="0"/>
      <w:sz w:val="28"/>
      <w:szCs w:val="21"/>
    </w:rPr>
  </w:style>
  <w:style w:type="paragraph" w:customStyle="1" w:styleId="97">
    <w:name w:val="标准文件_封面密级"/>
    <w:basedOn w:val="1"/>
    <w:uiPriority w:val="0"/>
    <w:pPr>
      <w:adjustRightInd w:val="0"/>
      <w:spacing w:line="400" w:lineRule="exact"/>
    </w:pPr>
    <w:rPr>
      <w:rFonts w:ascii="Calibri" w:hAnsi="Calibri" w:eastAsia="黑体" w:cs="Times New Roman"/>
      <w:sz w:val="32"/>
      <w:szCs w:val="21"/>
    </w:rPr>
  </w:style>
  <w:style w:type="paragraph" w:customStyle="1" w:styleId="98">
    <w:name w:val="标准文件_封面实施日期"/>
    <w:basedOn w:val="1"/>
    <w:uiPriority w:val="0"/>
    <w:pPr>
      <w:adjustRightInd w:val="0"/>
      <w:spacing w:line="310" w:lineRule="exact"/>
      <w:jc w:val="right"/>
    </w:pPr>
    <w:rPr>
      <w:rFonts w:ascii="黑体" w:hAnsi="Calibri" w:eastAsia="黑体" w:cs="Times New Roman"/>
      <w:sz w:val="28"/>
      <w:szCs w:val="21"/>
    </w:rPr>
  </w:style>
  <w:style w:type="paragraph" w:customStyle="1" w:styleId="99">
    <w:name w:val="标准文件_封面抬头"/>
    <w:basedOn w:val="80"/>
    <w:uiPriority w:val="0"/>
    <w:pPr>
      <w:adjustRightInd w:val="0"/>
      <w:spacing w:line="800" w:lineRule="exact"/>
      <w:ind w:firstLine="0" w:firstLineChars="0"/>
      <w:jc w:val="distribute"/>
    </w:pPr>
    <w:rPr>
      <w:rFonts w:ascii="黑体" w:eastAsia="黑体"/>
      <w:b/>
      <w:sz w:val="64"/>
    </w:rPr>
  </w:style>
  <w:style w:type="paragraph" w:customStyle="1" w:styleId="100">
    <w:name w:val="标准文件_附录标识"/>
    <w:next w:val="80"/>
    <w:uiPriority w:val="0"/>
    <w:pPr>
      <w:numPr>
        <w:ilvl w:val="0"/>
        <w:numId w:val="6"/>
      </w:numPr>
      <w:shd w:val="clear" w:color="FFFFFF" w:fill="FFFFFF"/>
      <w:tabs>
        <w:tab w:val="left" w:pos="6406"/>
      </w:tabs>
      <w:spacing w:beforeLines="25" w:afterLines="50"/>
      <w:jc w:val="center"/>
      <w:outlineLvl w:val="0"/>
    </w:pPr>
    <w:rPr>
      <w:rFonts w:ascii="黑体" w:hAnsi="Times New Roman" w:eastAsia="黑体" w:cs="Times New Roman"/>
      <w:kern w:val="0"/>
      <w:sz w:val="21"/>
      <w:szCs w:val="20"/>
      <w:lang w:val="en-US" w:eastAsia="zh-CN" w:bidi="ar-SA"/>
    </w:rPr>
  </w:style>
  <w:style w:type="paragraph" w:customStyle="1" w:styleId="101">
    <w:name w:val="标准文件_附录表标题"/>
    <w:next w:val="80"/>
    <w:uiPriority w:val="0"/>
    <w:pPr>
      <w:numPr>
        <w:ilvl w:val="1"/>
        <w:numId w:val="7"/>
      </w:numPr>
      <w:adjustRightInd w:val="0"/>
      <w:snapToGrid w:val="0"/>
      <w:spacing w:beforeLines="50" w:afterLines="50"/>
      <w:ind w:left="0" w:firstLine="420"/>
      <w:jc w:val="center"/>
      <w:textAlignment w:val="baseline"/>
    </w:pPr>
    <w:rPr>
      <w:rFonts w:ascii="黑体" w:hAnsi="Times New Roman" w:eastAsia="黑体" w:cs="Times New Roman"/>
      <w:kern w:val="21"/>
      <w:sz w:val="21"/>
      <w:szCs w:val="20"/>
      <w:lang w:val="en-US" w:eastAsia="zh-CN" w:bidi="ar-SA"/>
    </w:rPr>
  </w:style>
  <w:style w:type="paragraph" w:customStyle="1" w:styleId="102">
    <w:name w:val="标准文件_附录一级条标题"/>
    <w:next w:val="80"/>
    <w:uiPriority w:val="0"/>
    <w:pPr>
      <w:widowControl w:val="0"/>
      <w:numPr>
        <w:ilvl w:val="1"/>
        <w:numId w:val="6"/>
      </w:numPr>
      <w:spacing w:beforeLines="50" w:afterLines="50"/>
      <w:jc w:val="both"/>
      <w:outlineLvl w:val="2"/>
    </w:pPr>
    <w:rPr>
      <w:rFonts w:ascii="黑体" w:hAnsi="Times New Roman" w:eastAsia="黑体" w:cs="Times New Roman"/>
      <w:kern w:val="21"/>
      <w:sz w:val="21"/>
      <w:szCs w:val="20"/>
      <w:lang w:val="en-US" w:eastAsia="zh-CN" w:bidi="ar-SA"/>
    </w:rPr>
  </w:style>
  <w:style w:type="paragraph" w:customStyle="1" w:styleId="103">
    <w:name w:val="标准文件_附录二级条标题"/>
    <w:basedOn w:val="102"/>
    <w:next w:val="80"/>
    <w:uiPriority w:val="0"/>
    <w:pPr>
      <w:widowControl/>
      <w:numPr>
        <w:ilvl w:val="2"/>
      </w:numPr>
      <w:wordWrap w:val="0"/>
      <w:overflowPunct w:val="0"/>
      <w:autoSpaceDE w:val="0"/>
      <w:autoSpaceDN w:val="0"/>
      <w:textAlignment w:val="baseline"/>
      <w:outlineLvl w:val="3"/>
    </w:pPr>
  </w:style>
  <w:style w:type="paragraph" w:customStyle="1" w:styleId="104">
    <w:name w:val="标准文件_附录公式"/>
    <w:basedOn w:val="79"/>
    <w:next w:val="79"/>
    <w:uiPriority w:val="0"/>
    <w:pPr>
      <w:tabs>
        <w:tab w:val="center" w:pos="4678"/>
        <w:tab w:val="right" w:leader="middleDot" w:pos="9356"/>
      </w:tabs>
      <w:spacing w:line="240" w:lineRule="auto"/>
      <w:ind w:right="-51" w:firstLine="0" w:firstLineChars="0"/>
    </w:pPr>
    <w:rPr>
      <w:rFonts w:ascii="宋体" w:hAnsi="宋体"/>
    </w:rPr>
  </w:style>
  <w:style w:type="paragraph" w:customStyle="1" w:styleId="105">
    <w:name w:val="标准文件_附录三级条标题"/>
    <w:next w:val="80"/>
    <w:uiPriority w:val="0"/>
    <w:pPr>
      <w:widowControl w:val="0"/>
      <w:numPr>
        <w:ilvl w:val="3"/>
        <w:numId w:val="6"/>
      </w:numPr>
      <w:spacing w:beforeLines="50" w:afterLines="50"/>
      <w:jc w:val="both"/>
      <w:outlineLvl w:val="4"/>
    </w:pPr>
    <w:rPr>
      <w:rFonts w:ascii="黑体" w:hAnsi="Times New Roman" w:eastAsia="黑体" w:cs="Times New Roman"/>
      <w:kern w:val="21"/>
      <w:sz w:val="21"/>
      <w:szCs w:val="20"/>
      <w:lang w:val="en-US" w:eastAsia="zh-CN" w:bidi="ar-SA"/>
    </w:rPr>
  </w:style>
  <w:style w:type="paragraph" w:customStyle="1" w:styleId="106">
    <w:name w:val="标准文件_附录四级条标题"/>
    <w:next w:val="80"/>
    <w:uiPriority w:val="0"/>
    <w:pPr>
      <w:widowControl w:val="0"/>
      <w:numPr>
        <w:ilvl w:val="4"/>
        <w:numId w:val="6"/>
      </w:numPr>
      <w:spacing w:beforeLines="50" w:afterLines="50"/>
      <w:jc w:val="both"/>
      <w:outlineLvl w:val="5"/>
    </w:pPr>
    <w:rPr>
      <w:rFonts w:ascii="黑体" w:hAnsi="Times New Roman" w:eastAsia="黑体" w:cs="Times New Roman"/>
      <w:kern w:val="21"/>
      <w:sz w:val="21"/>
      <w:szCs w:val="20"/>
      <w:lang w:val="en-US" w:eastAsia="zh-CN" w:bidi="ar-SA"/>
    </w:rPr>
  </w:style>
  <w:style w:type="paragraph" w:customStyle="1" w:styleId="107">
    <w:name w:val="标准文件_附录图标题"/>
    <w:next w:val="80"/>
    <w:uiPriority w:val="0"/>
    <w:pPr>
      <w:numPr>
        <w:ilvl w:val="1"/>
        <w:numId w:val="8"/>
      </w:numPr>
      <w:adjustRightInd w:val="0"/>
      <w:snapToGrid w:val="0"/>
      <w:spacing w:beforeLines="50" w:afterLines="50"/>
      <w:ind w:firstLine="420"/>
      <w:jc w:val="center"/>
    </w:pPr>
    <w:rPr>
      <w:rFonts w:ascii="黑体" w:hAnsi="Times New Roman" w:eastAsia="黑体" w:cs="Times New Roman"/>
      <w:kern w:val="0"/>
      <w:sz w:val="21"/>
      <w:szCs w:val="20"/>
      <w:lang w:val="en-US" w:eastAsia="zh-CN" w:bidi="ar-SA"/>
    </w:rPr>
  </w:style>
  <w:style w:type="paragraph" w:customStyle="1" w:styleId="108">
    <w:name w:val="标准文件_附录五级条标题"/>
    <w:next w:val="80"/>
    <w:uiPriority w:val="0"/>
    <w:pPr>
      <w:widowControl w:val="0"/>
      <w:numPr>
        <w:ilvl w:val="5"/>
        <w:numId w:val="6"/>
      </w:numPr>
      <w:spacing w:beforeLines="50" w:afterLines="50"/>
      <w:jc w:val="both"/>
      <w:outlineLvl w:val="6"/>
    </w:pPr>
    <w:rPr>
      <w:rFonts w:ascii="黑体" w:hAnsi="Times New Roman" w:eastAsia="黑体" w:cs="Times New Roman"/>
      <w:kern w:val="21"/>
      <w:sz w:val="21"/>
      <w:szCs w:val="20"/>
      <w:lang w:val="en-US" w:eastAsia="zh-CN" w:bidi="ar-SA"/>
    </w:rPr>
  </w:style>
  <w:style w:type="paragraph" w:customStyle="1" w:styleId="109">
    <w:name w:val="标准文件_附录英文标识"/>
    <w:next w:val="14"/>
    <w:autoRedefine/>
    <w:uiPriority w:val="0"/>
    <w:pPr>
      <w:numPr>
        <w:ilvl w:val="0"/>
        <w:numId w:val="9"/>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110">
    <w:name w:val="标准文件_附录章标题"/>
    <w:next w:val="80"/>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11">
    <w:name w:val="标准文件_公式后的破折号"/>
    <w:basedOn w:val="80"/>
    <w:next w:val="80"/>
    <w:uiPriority w:val="0"/>
    <w:pPr>
      <w:ind w:left="488" w:leftChars="200" w:hanging="289" w:hangingChars="290"/>
    </w:pPr>
  </w:style>
  <w:style w:type="paragraph" w:customStyle="1" w:styleId="112">
    <w:name w:val="标准文件_前言、引言标题"/>
    <w:next w:val="1"/>
    <w:uiPriority w:val="0"/>
    <w:pPr>
      <w:numPr>
        <w:ilvl w:val="0"/>
        <w:numId w:val="10"/>
      </w:numPr>
      <w:shd w:val="clear" w:color="FFFFFF" w:fill="FFFFFF"/>
      <w:spacing w:afterLines="150"/>
      <w:ind w:left="0" w:firstLine="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目次、标准名称标题"/>
    <w:basedOn w:val="112"/>
    <w:next w:val="80"/>
    <w:uiPriority w:val="0"/>
    <w:pPr>
      <w:spacing w:line="460" w:lineRule="exact"/>
    </w:pPr>
  </w:style>
  <w:style w:type="paragraph" w:customStyle="1" w:styleId="114">
    <w:name w:val="标准文件_目录标题"/>
    <w:basedOn w:val="1"/>
    <w:uiPriority w:val="0"/>
    <w:pPr>
      <w:adjustRightInd w:val="0"/>
      <w:spacing w:afterLines="150"/>
      <w:jc w:val="center"/>
    </w:pPr>
    <w:rPr>
      <w:rFonts w:ascii="黑体" w:hAnsi="Calibri" w:eastAsia="黑体" w:cs="Times New Roman"/>
      <w:sz w:val="32"/>
      <w:szCs w:val="21"/>
    </w:rPr>
  </w:style>
  <w:style w:type="paragraph" w:customStyle="1" w:styleId="115">
    <w:name w:val="标准文件_破折号列项"/>
    <w:uiPriority w:val="0"/>
    <w:pPr>
      <w:numPr>
        <w:ilvl w:val="0"/>
        <w:numId w:val="11"/>
      </w:numPr>
      <w:adjustRightInd w:val="0"/>
      <w:snapToGrid w:val="0"/>
      <w:ind w:left="0" w:firstLine="200" w:firstLineChars="200"/>
    </w:pPr>
    <w:rPr>
      <w:rFonts w:ascii="Times New Roman" w:hAnsi="Times New Roman" w:eastAsia="宋体" w:cs="Times New Roman"/>
      <w:kern w:val="0"/>
      <w:sz w:val="21"/>
      <w:szCs w:val="20"/>
      <w:lang w:val="en-US" w:eastAsia="zh-CN" w:bidi="ar-SA"/>
    </w:rPr>
  </w:style>
  <w:style w:type="paragraph" w:customStyle="1" w:styleId="116">
    <w:name w:val="标准文件_破折号列项（二级）"/>
    <w:basedOn w:val="115"/>
    <w:uiPriority w:val="0"/>
    <w:pPr>
      <w:numPr>
        <w:numId w:val="12"/>
      </w:numPr>
      <w:ind w:left="0" w:firstLine="200"/>
    </w:pPr>
  </w:style>
  <w:style w:type="paragraph" w:customStyle="1" w:styleId="117">
    <w:name w:val="标准文件_三级条标题"/>
    <w:basedOn w:val="89"/>
    <w:next w:val="80"/>
    <w:autoRedefine/>
    <w:qFormat/>
    <w:uiPriority w:val="0"/>
    <w:pPr>
      <w:widowControl/>
      <w:numPr>
        <w:ilvl w:val="4"/>
      </w:numPr>
      <w:outlineLvl w:val="3"/>
    </w:pPr>
  </w:style>
  <w:style w:type="character" w:customStyle="1" w:styleId="118">
    <w:name w:val="不明显参考1"/>
    <w:qFormat/>
    <w:uiPriority w:val="31"/>
    <w:rPr>
      <w:smallCaps/>
      <w:color w:val="C0504D"/>
      <w:u w:val="single"/>
    </w:rPr>
  </w:style>
  <w:style w:type="paragraph" w:customStyle="1" w:styleId="119">
    <w:name w:val="标准文件_示例后续"/>
    <w:basedOn w:val="1"/>
    <w:qFormat/>
    <w:uiPriority w:val="0"/>
    <w:pPr>
      <w:ind w:firstLine="200" w:firstLineChars="200"/>
    </w:pPr>
    <w:rPr>
      <w:rFonts w:ascii="Calibri" w:hAnsi="Calibri" w:eastAsia="宋体" w:cs="Times New Roman"/>
      <w:sz w:val="18"/>
      <w:szCs w:val="24"/>
    </w:rPr>
  </w:style>
  <w:style w:type="paragraph" w:customStyle="1" w:styleId="120">
    <w:name w:val="标准文件_数字编号列项"/>
    <w:uiPriority w:val="0"/>
    <w:pPr>
      <w:numPr>
        <w:ilvl w:val="0"/>
        <w:numId w:val="13"/>
      </w:numPr>
      <w:jc w:val="both"/>
    </w:pPr>
    <w:rPr>
      <w:rFonts w:ascii="宋体" w:hAnsi="宋体" w:eastAsia="宋体" w:cs="Times New Roman"/>
      <w:kern w:val="0"/>
      <w:sz w:val="21"/>
      <w:szCs w:val="20"/>
      <w:lang w:val="en-US" w:eastAsia="zh-CN" w:bidi="ar-SA"/>
    </w:rPr>
  </w:style>
  <w:style w:type="paragraph" w:customStyle="1" w:styleId="121">
    <w:name w:val="标准文件_四级条标题"/>
    <w:next w:val="80"/>
    <w:uiPriority w:val="0"/>
    <w:pPr>
      <w:widowControl w:val="0"/>
      <w:numPr>
        <w:ilvl w:val="5"/>
        <w:numId w:val="4"/>
      </w:numPr>
      <w:spacing w:beforeLines="50" w:afterLines="50"/>
      <w:jc w:val="both"/>
      <w:outlineLvl w:val="4"/>
    </w:pPr>
    <w:rPr>
      <w:rFonts w:ascii="黑体" w:hAnsi="Times New Roman" w:eastAsia="黑体" w:cs="Times New Roman"/>
      <w:kern w:val="0"/>
      <w:sz w:val="21"/>
      <w:szCs w:val="20"/>
      <w:lang w:val="en-US" w:eastAsia="zh-CN" w:bidi="ar-SA"/>
    </w:rPr>
  </w:style>
  <w:style w:type="paragraph" w:customStyle="1" w:styleId="122">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23">
    <w:name w:val="标准文件_图表脚注"/>
    <w:basedOn w:val="1"/>
    <w:next w:val="80"/>
    <w:uiPriority w:val="0"/>
    <w:pPr>
      <w:numPr>
        <w:ilvl w:val="0"/>
        <w:numId w:val="14"/>
      </w:numPr>
      <w:adjustRightInd w:val="0"/>
      <w:jc w:val="left"/>
    </w:pPr>
    <w:rPr>
      <w:rFonts w:ascii="宋体" w:hAnsi="宋体" w:eastAsia="宋体" w:cs="Times New Roman"/>
      <w:sz w:val="18"/>
      <w:szCs w:val="21"/>
    </w:rPr>
  </w:style>
  <w:style w:type="character" w:customStyle="1" w:styleId="124">
    <w:name w:val="标准文件_图表脚注内容"/>
    <w:uiPriority w:val="0"/>
    <w:rPr>
      <w:rFonts w:ascii="宋体" w:hAnsi="宋体" w:eastAsia="宋体" w:cs="Times New Roman"/>
      <w:spacing w:val="0"/>
      <w:sz w:val="18"/>
      <w:vertAlign w:val="superscript"/>
    </w:rPr>
  </w:style>
  <w:style w:type="paragraph" w:customStyle="1" w:styleId="125">
    <w:name w:val="标准文件_五级条标题"/>
    <w:next w:val="80"/>
    <w:uiPriority w:val="0"/>
    <w:pPr>
      <w:widowControl w:val="0"/>
      <w:numPr>
        <w:ilvl w:val="6"/>
        <w:numId w:val="4"/>
      </w:numPr>
      <w:spacing w:beforeLines="50" w:afterLines="50"/>
      <w:jc w:val="both"/>
      <w:outlineLvl w:val="5"/>
    </w:pPr>
    <w:rPr>
      <w:rFonts w:ascii="黑体" w:hAnsi="Times New Roman" w:eastAsia="黑体" w:cs="Times New Roman"/>
      <w:kern w:val="0"/>
      <w:sz w:val="21"/>
      <w:szCs w:val="20"/>
      <w:lang w:val="en-US" w:eastAsia="zh-CN" w:bidi="ar-SA"/>
    </w:rPr>
  </w:style>
  <w:style w:type="paragraph" w:customStyle="1" w:styleId="126">
    <w:name w:val="标准文件_章标题"/>
    <w:next w:val="80"/>
    <w:uiPriority w:val="0"/>
    <w:pPr>
      <w:numPr>
        <w:ilvl w:val="1"/>
        <w:numId w:val="4"/>
      </w:numPr>
      <w:spacing w:beforeLines="100" w:afterLines="100"/>
      <w:jc w:val="both"/>
      <w:outlineLvl w:val="0"/>
    </w:pPr>
    <w:rPr>
      <w:rFonts w:ascii="黑体" w:hAnsi="Times New Roman" w:eastAsia="黑体" w:cs="Times New Roman"/>
      <w:kern w:val="0"/>
      <w:sz w:val="21"/>
      <w:szCs w:val="20"/>
      <w:lang w:val="en-US" w:eastAsia="zh-CN" w:bidi="ar-SA"/>
    </w:rPr>
  </w:style>
  <w:style w:type="paragraph" w:customStyle="1" w:styleId="127">
    <w:name w:val="标准文件_一级条标题"/>
    <w:basedOn w:val="126"/>
    <w:next w:val="80"/>
    <w:autoRedefine/>
    <w:uiPriority w:val="0"/>
    <w:pPr>
      <w:numPr>
        <w:ilvl w:val="2"/>
      </w:numPr>
      <w:spacing w:beforeLines="50" w:afterLines="50"/>
      <w:ind w:left="0"/>
      <w:outlineLvl w:val="1"/>
    </w:pPr>
  </w:style>
  <w:style w:type="paragraph" w:customStyle="1" w:styleId="128">
    <w:name w:val="标准文件_一致程度"/>
    <w:basedOn w:val="1"/>
    <w:autoRedefine/>
    <w:qFormat/>
    <w:uiPriority w:val="0"/>
    <w:pPr>
      <w:adjustRightInd w:val="0"/>
      <w:spacing w:line="440" w:lineRule="exact"/>
      <w:jc w:val="center"/>
    </w:pPr>
    <w:rPr>
      <w:rFonts w:ascii="Calibri" w:hAnsi="Calibri" w:eastAsia="宋体" w:cs="Times New Roman"/>
      <w:sz w:val="28"/>
      <w:szCs w:val="21"/>
    </w:rPr>
  </w:style>
  <w:style w:type="paragraph" w:customStyle="1" w:styleId="129">
    <w:name w:val="标准文件_引言标题"/>
    <w:next w:val="1"/>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30">
    <w:name w:val="标准文件_英文图表脚注"/>
    <w:basedOn w:val="79"/>
    <w:uiPriority w:val="0"/>
    <w:pPr>
      <w:widowControl/>
      <w:adjustRightInd/>
      <w:snapToGrid/>
      <w:spacing w:line="240" w:lineRule="auto"/>
      <w:ind w:left="79" w:hanging="79" w:hangingChars="80"/>
    </w:pPr>
    <w:rPr>
      <w:rFonts w:ascii="宋体" w:hAnsi="宋体"/>
    </w:rPr>
  </w:style>
  <w:style w:type="paragraph" w:customStyle="1" w:styleId="131">
    <w:name w:val="标准文件_数字编号列项（二级）"/>
    <w:uiPriority w:val="0"/>
    <w:pPr>
      <w:numPr>
        <w:ilvl w:val="1"/>
        <w:numId w:val="15"/>
      </w:numPr>
      <w:tabs>
        <w:tab w:val="left" w:pos="851"/>
      </w:tabs>
      <w:jc w:val="both"/>
    </w:pPr>
    <w:rPr>
      <w:rFonts w:ascii="宋体" w:hAnsi="Times New Roman" w:eastAsia="宋体" w:cs="Times New Roman"/>
      <w:kern w:val="0"/>
      <w:sz w:val="21"/>
      <w:szCs w:val="20"/>
      <w:lang w:val="en-US" w:eastAsia="zh-CN" w:bidi="ar-SA"/>
    </w:rPr>
  </w:style>
  <w:style w:type="paragraph" w:customStyle="1" w:styleId="132">
    <w:name w:val="标准文件_英文注："/>
    <w:basedOn w:val="1"/>
    <w:next w:val="80"/>
    <w:uiPriority w:val="0"/>
    <w:pPr>
      <w:numPr>
        <w:ilvl w:val="0"/>
        <w:numId w:val="16"/>
      </w:numPr>
      <w:tabs>
        <w:tab w:val="left" w:pos="420"/>
      </w:tabs>
      <w:autoSpaceDE w:val="0"/>
      <w:autoSpaceDN w:val="0"/>
      <w:adjustRightInd w:val="0"/>
    </w:pPr>
    <w:rPr>
      <w:rFonts w:ascii="宋体" w:hAnsi="宋体" w:eastAsia="宋体" w:cs="Times New Roman"/>
      <w:kern w:val="0"/>
      <w:sz w:val="18"/>
      <w:szCs w:val="20"/>
    </w:rPr>
  </w:style>
  <w:style w:type="paragraph" w:customStyle="1" w:styleId="133">
    <w:name w:val="标准文件_英文注×："/>
    <w:basedOn w:val="1"/>
    <w:autoRedefine/>
    <w:qFormat/>
    <w:uiPriority w:val="0"/>
    <w:pPr>
      <w:numPr>
        <w:ilvl w:val="0"/>
        <w:numId w:val="17"/>
      </w:numPr>
      <w:tabs>
        <w:tab w:val="left" w:pos="210"/>
      </w:tabs>
      <w:autoSpaceDE w:val="0"/>
      <w:autoSpaceDN w:val="0"/>
      <w:adjustRightInd w:val="0"/>
    </w:pPr>
    <w:rPr>
      <w:rFonts w:ascii="宋体" w:hAnsi="宋体" w:eastAsia="宋体" w:cs="Times New Roman"/>
      <w:kern w:val="0"/>
      <w:szCs w:val="20"/>
    </w:rPr>
  </w:style>
  <w:style w:type="paragraph" w:customStyle="1" w:styleId="134">
    <w:name w:val="标准文件_正文表标题"/>
    <w:next w:val="80"/>
    <w:uiPriority w:val="0"/>
    <w:pPr>
      <w:tabs>
        <w:tab w:val="left" w:pos="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35">
    <w:name w:val="标准文件_正文公式"/>
    <w:basedOn w:val="1"/>
    <w:next w:val="79"/>
    <w:autoRedefine/>
    <w:qFormat/>
    <w:uiPriority w:val="0"/>
    <w:pPr>
      <w:tabs>
        <w:tab w:val="center" w:pos="4678"/>
        <w:tab w:val="right" w:leader="middleDot" w:pos="9356"/>
      </w:tabs>
      <w:adjustRightInd w:val="0"/>
    </w:pPr>
    <w:rPr>
      <w:rFonts w:ascii="宋体" w:hAnsi="宋体" w:eastAsia="宋体" w:cs="Times New Roman"/>
      <w:szCs w:val="21"/>
    </w:rPr>
  </w:style>
  <w:style w:type="paragraph" w:customStyle="1" w:styleId="136">
    <w:name w:val="标准文件_正文图标题"/>
    <w:next w:val="80"/>
    <w:uiPriority w:val="0"/>
    <w:pPr>
      <w:spacing w:before="156" w:beforeLines="50" w:after="156" w:afterLines="50"/>
      <w:jc w:val="both"/>
    </w:pPr>
    <w:rPr>
      <w:rFonts w:ascii="黑体" w:hAnsi="Times New Roman" w:eastAsia="黑体" w:cs="Times New Roman"/>
      <w:kern w:val="0"/>
      <w:sz w:val="21"/>
      <w:szCs w:val="20"/>
      <w:lang w:val="en-US" w:eastAsia="zh-CN" w:bidi="ar-SA"/>
    </w:rPr>
  </w:style>
  <w:style w:type="paragraph" w:customStyle="1" w:styleId="137">
    <w:name w:val="标准文件_正文英文表标题"/>
    <w:next w:val="80"/>
    <w:uiPriority w:val="0"/>
    <w:pPr>
      <w:numPr>
        <w:ilvl w:val="0"/>
        <w:numId w:val="18"/>
      </w:numPr>
      <w:jc w:val="center"/>
    </w:pPr>
    <w:rPr>
      <w:rFonts w:ascii="黑体" w:hAnsi="Times New Roman" w:eastAsia="黑体" w:cs="Times New Roman"/>
      <w:kern w:val="0"/>
      <w:sz w:val="21"/>
      <w:szCs w:val="20"/>
      <w:lang w:val="en-US" w:eastAsia="zh-CN" w:bidi="ar-SA"/>
    </w:rPr>
  </w:style>
  <w:style w:type="paragraph" w:customStyle="1" w:styleId="138">
    <w:name w:val="标准文件_正文英文图标题"/>
    <w:next w:val="80"/>
    <w:autoRedefine/>
    <w:qFormat/>
    <w:uiPriority w:val="0"/>
    <w:pPr>
      <w:numPr>
        <w:ilvl w:val="0"/>
        <w:numId w:val="19"/>
      </w:numPr>
      <w:jc w:val="center"/>
    </w:pPr>
    <w:rPr>
      <w:rFonts w:ascii="黑体" w:hAnsi="Times New Roman" w:eastAsia="黑体" w:cs="Times New Roman"/>
      <w:kern w:val="0"/>
      <w:sz w:val="21"/>
      <w:szCs w:val="20"/>
      <w:lang w:val="en-US" w:eastAsia="zh-CN" w:bidi="ar-SA"/>
    </w:rPr>
  </w:style>
  <w:style w:type="paragraph" w:customStyle="1" w:styleId="139">
    <w:name w:val="标准文件_编号列项（三级）"/>
    <w:autoRedefine/>
    <w:qFormat/>
    <w:uiPriority w:val="0"/>
    <w:pPr>
      <w:numPr>
        <w:ilvl w:val="2"/>
        <w:numId w:val="15"/>
      </w:numPr>
      <w:tabs>
        <w:tab w:val="left" w:pos="851"/>
      </w:tabs>
    </w:pPr>
    <w:rPr>
      <w:rFonts w:ascii="宋体" w:hAnsi="Times New Roman" w:eastAsia="宋体" w:cs="Times New Roman"/>
      <w:kern w:val="0"/>
      <w:sz w:val="21"/>
      <w:szCs w:val="20"/>
      <w:lang w:val="en-US" w:eastAsia="zh-CN" w:bidi="ar-SA"/>
    </w:rPr>
  </w:style>
  <w:style w:type="paragraph" w:customStyle="1" w:styleId="140">
    <w:name w:val="二级无标题条"/>
    <w:basedOn w:val="1"/>
    <w:uiPriority w:val="0"/>
    <w:pPr>
      <w:numPr>
        <w:ilvl w:val="3"/>
        <w:numId w:val="20"/>
      </w:numPr>
    </w:pPr>
    <w:rPr>
      <w:rFonts w:ascii="宋体" w:hAnsi="宋体" w:eastAsia="宋体" w:cs="Times New Roman"/>
      <w:szCs w:val="24"/>
    </w:rPr>
  </w:style>
  <w:style w:type="paragraph" w:customStyle="1" w:styleId="14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kern w:val="0"/>
      <w:sz w:val="28"/>
      <w:szCs w:val="20"/>
      <w:lang w:val="en-US" w:eastAsia="zh-CN" w:bidi="ar-SA"/>
    </w:rPr>
  </w:style>
  <w:style w:type="paragraph" w:customStyle="1" w:styleId="142">
    <w:name w:val="封面标准代替信息"/>
    <w:basedOn w:val="1"/>
    <w:uiPriority w:val="0"/>
    <w:pPr>
      <w:framePr w:w="9138" w:h="1244" w:hRule="exact" w:wrap="auto" w:vAnchor="page" w:hAnchor="margin" w:y="2908"/>
      <w:kinsoku w:val="0"/>
      <w:overflowPunct w:val="0"/>
      <w:autoSpaceDE w:val="0"/>
      <w:autoSpaceDN w:val="0"/>
      <w:adjustRightInd w:val="0"/>
      <w:spacing w:before="57" w:line="280" w:lineRule="exact"/>
      <w:jc w:val="right"/>
      <w:textAlignment w:val="center"/>
    </w:pPr>
    <w:rPr>
      <w:rFonts w:ascii="宋体" w:hAnsi="Times New Roman" w:eastAsia="宋体" w:cs="Times New Roman"/>
      <w:kern w:val="0"/>
      <w:szCs w:val="20"/>
    </w:rPr>
  </w:style>
  <w:style w:type="paragraph" w:customStyle="1" w:styleId="143">
    <w:name w:val="封面标准文稿编辑信息"/>
    <w:autoRedefine/>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44">
    <w:name w:val="封面标准文稿类别"/>
    <w:autoRedefine/>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45">
    <w:name w:val="封面一致性程度标识"/>
    <w:autoRedefine/>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46">
    <w:name w:val="封面正文"/>
    <w:uiPriority w:val="0"/>
    <w:pPr>
      <w:jc w:val="both"/>
    </w:pPr>
    <w:rPr>
      <w:rFonts w:ascii="Times New Roman" w:hAnsi="Times New Roman" w:eastAsia="宋体" w:cs="Times New Roman"/>
      <w:kern w:val="0"/>
      <w:sz w:val="20"/>
      <w:szCs w:val="20"/>
      <w:lang w:val="en-US" w:eastAsia="zh-CN" w:bidi="ar-SA"/>
    </w:rPr>
  </w:style>
  <w:style w:type="paragraph" w:customStyle="1" w:styleId="147">
    <w:name w:val="附录二级无标题条"/>
    <w:basedOn w:val="1"/>
    <w:next w:val="80"/>
    <w:autoRedefine/>
    <w:qFormat/>
    <w:uiPriority w:val="0"/>
    <w:pPr>
      <w:widowControl/>
      <w:wordWrap w:val="0"/>
      <w:overflowPunct w:val="0"/>
      <w:autoSpaceDE w:val="0"/>
      <w:autoSpaceDN w:val="0"/>
      <w:textAlignment w:val="baseline"/>
      <w:outlineLvl w:val="3"/>
    </w:pPr>
    <w:rPr>
      <w:rFonts w:ascii="宋体" w:hAnsi="宋体" w:eastAsia="宋体" w:cs="Times New Roman"/>
      <w:kern w:val="21"/>
      <w:szCs w:val="21"/>
    </w:rPr>
  </w:style>
  <w:style w:type="paragraph" w:customStyle="1" w:styleId="148">
    <w:name w:val="附录三级无标题条"/>
    <w:basedOn w:val="147"/>
    <w:next w:val="80"/>
    <w:qFormat/>
    <w:uiPriority w:val="0"/>
    <w:pPr>
      <w:outlineLvl w:val="4"/>
    </w:pPr>
  </w:style>
  <w:style w:type="paragraph" w:customStyle="1" w:styleId="149">
    <w:name w:val="附录四级无标题条"/>
    <w:basedOn w:val="148"/>
    <w:next w:val="80"/>
    <w:autoRedefine/>
    <w:uiPriority w:val="0"/>
    <w:pPr>
      <w:outlineLvl w:val="5"/>
    </w:pPr>
  </w:style>
  <w:style w:type="paragraph" w:customStyle="1" w:styleId="150">
    <w:name w:val="附录图"/>
    <w:next w:val="80"/>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51">
    <w:name w:val="标准文件_一级项"/>
    <w:autoRedefine/>
    <w:qFormat/>
    <w:uiPriority w:val="0"/>
    <w:pPr>
      <w:numPr>
        <w:ilvl w:val="0"/>
        <w:numId w:val="21"/>
      </w:numPr>
    </w:pPr>
    <w:rPr>
      <w:rFonts w:ascii="宋体" w:hAnsi="Times New Roman" w:eastAsia="宋体" w:cs="Times New Roman"/>
      <w:kern w:val="0"/>
      <w:sz w:val="21"/>
      <w:szCs w:val="20"/>
      <w:lang w:val="en-US" w:eastAsia="zh-CN" w:bidi="ar-SA"/>
    </w:rPr>
  </w:style>
  <w:style w:type="paragraph" w:customStyle="1" w:styleId="152">
    <w:name w:val="附录五级无标题条"/>
    <w:basedOn w:val="149"/>
    <w:next w:val="80"/>
    <w:qFormat/>
    <w:uiPriority w:val="0"/>
    <w:pPr>
      <w:outlineLvl w:val="6"/>
    </w:pPr>
  </w:style>
  <w:style w:type="paragraph" w:customStyle="1" w:styleId="153">
    <w:name w:val="附录性质"/>
    <w:basedOn w:val="1"/>
    <w:uiPriority w:val="0"/>
    <w:pPr>
      <w:widowControl/>
      <w:spacing w:line="400" w:lineRule="exact"/>
      <w:jc w:val="center"/>
    </w:pPr>
    <w:rPr>
      <w:rFonts w:ascii="黑体" w:hAnsi="Calibri" w:eastAsia="黑体" w:cs="Times New Roman"/>
      <w:szCs w:val="21"/>
    </w:rPr>
  </w:style>
  <w:style w:type="paragraph" w:customStyle="1" w:styleId="154">
    <w:name w:val="附录一级无标题条"/>
    <w:basedOn w:val="110"/>
    <w:next w:val="80"/>
    <w:autoRedefine/>
    <w:qFormat/>
    <w:uiPriority w:val="0"/>
    <w:pPr>
      <w:autoSpaceDN w:val="0"/>
      <w:outlineLvl w:val="2"/>
    </w:pPr>
    <w:rPr>
      <w:rFonts w:ascii="宋体" w:hAnsi="宋体" w:eastAsia="宋体"/>
    </w:rPr>
  </w:style>
  <w:style w:type="character" w:customStyle="1" w:styleId="155">
    <w:name w:val="个人答复风格"/>
    <w:autoRedefine/>
    <w:qFormat/>
    <w:uiPriority w:val="0"/>
    <w:rPr>
      <w:rFonts w:ascii="Arial" w:hAnsi="Arial" w:eastAsia="宋体" w:cs="Arial"/>
      <w:color w:val="auto"/>
      <w:spacing w:val="0"/>
      <w:sz w:val="20"/>
    </w:rPr>
  </w:style>
  <w:style w:type="character" w:customStyle="1" w:styleId="156">
    <w:name w:val="个人撰写风格"/>
    <w:autoRedefine/>
    <w:qFormat/>
    <w:uiPriority w:val="0"/>
    <w:rPr>
      <w:rFonts w:ascii="Arial" w:hAnsi="Arial" w:eastAsia="宋体" w:cs="Arial"/>
      <w:color w:val="auto"/>
      <w:spacing w:val="0"/>
      <w:sz w:val="20"/>
    </w:rPr>
  </w:style>
  <w:style w:type="paragraph" w:customStyle="1" w:styleId="157">
    <w:name w:val="脚注后续"/>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58">
    <w:name w:val="列项——"/>
    <w:uiPriority w:val="0"/>
    <w:pPr>
      <w:widowControl w:val="0"/>
      <w:numPr>
        <w:ilvl w:val="0"/>
        <w:numId w:val="22"/>
      </w:numPr>
      <w:jc w:val="both"/>
    </w:pPr>
    <w:rPr>
      <w:rFonts w:ascii="宋体" w:hAnsi="宋体" w:eastAsia="宋体" w:cs="Times New Roman"/>
      <w:kern w:val="0"/>
      <w:sz w:val="21"/>
      <w:szCs w:val="20"/>
      <w:lang w:val="en-US" w:eastAsia="zh-CN" w:bidi="ar-SA"/>
    </w:rPr>
  </w:style>
  <w:style w:type="paragraph" w:customStyle="1" w:styleId="159">
    <w:name w:val="列项·"/>
    <w:basedOn w:val="80"/>
    <w:qFormat/>
    <w:uiPriority w:val="0"/>
    <w:pPr>
      <w:tabs>
        <w:tab w:val="left" w:pos="840"/>
      </w:tabs>
    </w:pPr>
  </w:style>
  <w:style w:type="paragraph" w:customStyle="1" w:styleId="160">
    <w:name w:val="目次、索引正文"/>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61">
    <w:name w:val="目录 21"/>
    <w:basedOn w:val="1"/>
    <w:next w:val="1"/>
    <w:semiHidden/>
    <w:uiPriority w:val="0"/>
    <w:pPr>
      <w:jc w:val="left"/>
    </w:pPr>
    <w:rPr>
      <w:rFonts w:ascii="Calibri" w:hAnsi="Calibri" w:eastAsia="宋体" w:cs="Times New Roman"/>
      <w:bCs/>
      <w:iCs/>
      <w:szCs w:val="21"/>
    </w:rPr>
  </w:style>
  <w:style w:type="paragraph" w:customStyle="1" w:styleId="162">
    <w:name w:val="目录 31"/>
    <w:basedOn w:val="1"/>
    <w:next w:val="1"/>
    <w:semiHidden/>
    <w:qFormat/>
    <w:uiPriority w:val="0"/>
    <w:pPr>
      <w:adjustRightInd w:val="0"/>
    </w:pPr>
    <w:rPr>
      <w:rFonts w:ascii="宋体" w:hAnsi="宋体" w:eastAsia="宋体" w:cs="Times New Roman"/>
      <w:iCs/>
      <w:szCs w:val="21"/>
    </w:rPr>
  </w:style>
  <w:style w:type="paragraph" w:customStyle="1" w:styleId="163">
    <w:name w:val="目录 41"/>
    <w:basedOn w:val="1"/>
    <w:next w:val="1"/>
    <w:semiHidden/>
    <w:uiPriority w:val="0"/>
    <w:pPr>
      <w:jc w:val="left"/>
    </w:pPr>
    <w:rPr>
      <w:rFonts w:ascii="Calibri" w:hAnsi="Calibri" w:eastAsia="宋体" w:cs="Times New Roman"/>
      <w:szCs w:val="21"/>
    </w:rPr>
  </w:style>
  <w:style w:type="paragraph" w:customStyle="1" w:styleId="164">
    <w:name w:val="目录 51"/>
    <w:basedOn w:val="1"/>
    <w:next w:val="1"/>
    <w:semiHidden/>
    <w:qFormat/>
    <w:uiPriority w:val="0"/>
    <w:pPr>
      <w:adjustRightInd w:val="0"/>
    </w:pPr>
    <w:rPr>
      <w:rFonts w:ascii="宋体" w:hAnsi="宋体" w:eastAsia="宋体" w:cs="Times New Roman"/>
      <w:szCs w:val="21"/>
    </w:rPr>
  </w:style>
  <w:style w:type="paragraph" w:customStyle="1" w:styleId="165">
    <w:name w:val="目录 61"/>
    <w:basedOn w:val="1"/>
    <w:next w:val="1"/>
    <w:autoRedefine/>
    <w:semiHidden/>
    <w:qFormat/>
    <w:uiPriority w:val="0"/>
    <w:pPr>
      <w:jc w:val="left"/>
    </w:pPr>
    <w:rPr>
      <w:rFonts w:ascii="Calibri" w:hAnsi="Calibri" w:eastAsia="宋体" w:cs="Times New Roman"/>
      <w:szCs w:val="21"/>
    </w:rPr>
  </w:style>
  <w:style w:type="paragraph" w:customStyle="1" w:styleId="166">
    <w:name w:val="目录 71"/>
    <w:basedOn w:val="165"/>
    <w:autoRedefine/>
    <w:semiHidden/>
    <w:uiPriority w:val="0"/>
    <w:pPr>
      <w:ind w:left="1260"/>
    </w:pPr>
  </w:style>
  <w:style w:type="paragraph" w:customStyle="1" w:styleId="167">
    <w:name w:val="目录 81"/>
    <w:basedOn w:val="166"/>
    <w:autoRedefine/>
    <w:semiHidden/>
    <w:uiPriority w:val="0"/>
    <w:pPr>
      <w:ind w:left="1470"/>
    </w:pPr>
  </w:style>
  <w:style w:type="paragraph" w:customStyle="1" w:styleId="168">
    <w:name w:val="目录 91"/>
    <w:basedOn w:val="167"/>
    <w:semiHidden/>
    <w:uiPriority w:val="0"/>
    <w:pPr>
      <w:ind w:left="1680"/>
    </w:pPr>
  </w:style>
  <w:style w:type="paragraph" w:customStyle="1" w:styleId="169">
    <w:name w:val="其他标准称谓"/>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70">
    <w:name w:val="其他发布部门"/>
    <w:basedOn w:val="42"/>
    <w:uiPriority w:val="0"/>
    <w:pPr>
      <w:framePr w:w="7433" w:h="585" w:hRule="exact" w:hSpace="180" w:vSpace="180" w:wrap="around" w:vAnchor="margin" w:hAnchor="margin" w:xAlign="center" w:y="14401"/>
      <w:spacing w:line="0" w:lineRule="atLeast"/>
    </w:pPr>
    <w:rPr>
      <w:rFonts w:ascii="黑体" w:eastAsia="黑体"/>
      <w:b w:val="0"/>
      <w:spacing w:val="0"/>
      <w:sz w:val="36"/>
    </w:rPr>
  </w:style>
  <w:style w:type="paragraph" w:customStyle="1" w:styleId="171">
    <w:name w:val="前言标题"/>
    <w:next w:val="1"/>
    <w:qFormat/>
    <w:uiPriority w:val="0"/>
    <w:pPr>
      <w:numPr>
        <w:ilvl w:val="0"/>
        <w:numId w:val="4"/>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72">
    <w:name w:val="三级无标题条"/>
    <w:basedOn w:val="1"/>
    <w:uiPriority w:val="0"/>
    <w:pPr>
      <w:numPr>
        <w:ilvl w:val="4"/>
        <w:numId w:val="20"/>
      </w:numPr>
    </w:pPr>
    <w:rPr>
      <w:rFonts w:ascii="宋体" w:hAnsi="宋体" w:eastAsia="宋体" w:cs="Times New Roman"/>
      <w:szCs w:val="24"/>
    </w:rPr>
  </w:style>
  <w:style w:type="paragraph" w:customStyle="1" w:styleId="173">
    <w:name w:val="实施日期"/>
    <w:basedOn w:val="141"/>
    <w:autoRedefine/>
    <w:qFormat/>
    <w:uiPriority w:val="0"/>
    <w:pPr>
      <w:framePr w:hSpace="0" w:wrap="around" w:xAlign="right"/>
      <w:jc w:val="right"/>
    </w:pPr>
  </w:style>
  <w:style w:type="paragraph" w:customStyle="1" w:styleId="174">
    <w:name w:val="四级无标题条"/>
    <w:basedOn w:val="1"/>
    <w:autoRedefine/>
    <w:qFormat/>
    <w:uiPriority w:val="0"/>
    <w:pPr>
      <w:numPr>
        <w:ilvl w:val="5"/>
        <w:numId w:val="20"/>
      </w:numPr>
    </w:pPr>
    <w:rPr>
      <w:rFonts w:ascii="宋体" w:hAnsi="宋体" w:eastAsia="宋体" w:cs="Times New Roman"/>
      <w:szCs w:val="24"/>
    </w:rPr>
  </w:style>
  <w:style w:type="paragraph" w:customStyle="1" w:styleId="175">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kern w:val="0"/>
      <w:sz w:val="21"/>
      <w:szCs w:val="20"/>
      <w:lang w:val="en-US" w:eastAsia="zh-CN" w:bidi="ar-SA"/>
    </w:rPr>
  </w:style>
  <w:style w:type="paragraph" w:customStyle="1" w:styleId="176">
    <w:name w:val="无标题条"/>
    <w:next w:val="80"/>
    <w:autoRedefine/>
    <w:qFormat/>
    <w:uiPriority w:val="0"/>
    <w:pPr>
      <w:jc w:val="both"/>
    </w:pPr>
    <w:rPr>
      <w:rFonts w:ascii="宋体" w:hAnsi="宋体" w:eastAsia="宋体" w:cs="Times New Roman"/>
      <w:kern w:val="0"/>
      <w:sz w:val="21"/>
      <w:szCs w:val="20"/>
      <w:lang w:val="en-US" w:eastAsia="zh-CN" w:bidi="ar-SA"/>
    </w:rPr>
  </w:style>
  <w:style w:type="paragraph" w:customStyle="1" w:styleId="177">
    <w:name w:val="五级无标题条"/>
    <w:basedOn w:val="1"/>
    <w:qFormat/>
    <w:uiPriority w:val="0"/>
    <w:pPr>
      <w:numPr>
        <w:ilvl w:val="6"/>
        <w:numId w:val="20"/>
      </w:numPr>
      <w:spacing w:line="400" w:lineRule="exact"/>
    </w:pPr>
    <w:rPr>
      <w:rFonts w:ascii="Calibri" w:hAnsi="Calibri" w:eastAsia="宋体" w:cs="Times New Roman"/>
      <w:szCs w:val="24"/>
    </w:rPr>
  </w:style>
  <w:style w:type="paragraph" w:customStyle="1" w:styleId="178">
    <w:name w:val="一级无标题条"/>
    <w:basedOn w:val="1"/>
    <w:uiPriority w:val="0"/>
    <w:pPr>
      <w:numPr>
        <w:ilvl w:val="2"/>
        <w:numId w:val="20"/>
      </w:numPr>
      <w:spacing w:before="10" w:after="10"/>
    </w:pPr>
    <w:rPr>
      <w:rFonts w:ascii="宋体" w:hAnsi="宋体" w:eastAsia="宋体" w:cs="Times New Roman"/>
      <w:szCs w:val="24"/>
    </w:rPr>
  </w:style>
  <w:style w:type="paragraph" w:customStyle="1" w:styleId="179">
    <w:name w:val="注:后续"/>
    <w:autoRedefine/>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80">
    <w:name w:val="注×:后续"/>
    <w:basedOn w:val="179"/>
    <w:autoRedefine/>
    <w:qFormat/>
    <w:uiPriority w:val="0"/>
    <w:pPr>
      <w:ind w:left="1406" w:leftChars="0" w:hanging="499" w:firstLineChars="0"/>
    </w:pPr>
  </w:style>
  <w:style w:type="paragraph" w:customStyle="1" w:styleId="181">
    <w:name w:val="标准文件_一级无标题"/>
    <w:basedOn w:val="127"/>
    <w:autoRedefine/>
    <w:qFormat/>
    <w:uiPriority w:val="0"/>
    <w:pPr>
      <w:spacing w:beforeLines="0" w:afterLines="0"/>
      <w:outlineLvl w:val="9"/>
    </w:pPr>
    <w:rPr>
      <w:rFonts w:ascii="宋体" w:eastAsia="宋体"/>
    </w:rPr>
  </w:style>
  <w:style w:type="paragraph" w:customStyle="1" w:styleId="182">
    <w:name w:val="标准文件_五级无标题"/>
    <w:basedOn w:val="125"/>
    <w:autoRedefine/>
    <w:qFormat/>
    <w:uiPriority w:val="0"/>
    <w:pPr>
      <w:spacing w:beforeLines="0" w:afterLines="0"/>
      <w:outlineLvl w:val="9"/>
    </w:pPr>
    <w:rPr>
      <w:rFonts w:ascii="宋体" w:eastAsia="宋体"/>
    </w:rPr>
  </w:style>
  <w:style w:type="paragraph" w:customStyle="1" w:styleId="183">
    <w:name w:val="标准文件_三级无标题"/>
    <w:basedOn w:val="117"/>
    <w:qFormat/>
    <w:uiPriority w:val="0"/>
    <w:pPr>
      <w:spacing w:beforeLines="0" w:afterLines="0"/>
      <w:outlineLvl w:val="9"/>
    </w:pPr>
    <w:rPr>
      <w:rFonts w:ascii="宋体" w:eastAsia="宋体"/>
    </w:rPr>
  </w:style>
  <w:style w:type="paragraph" w:customStyle="1" w:styleId="184">
    <w:name w:val="标准文件_二级无标题"/>
    <w:basedOn w:val="89"/>
    <w:autoRedefine/>
    <w:qFormat/>
    <w:uiPriority w:val="0"/>
    <w:pPr>
      <w:spacing w:beforeLines="0" w:afterLines="0"/>
      <w:outlineLvl w:val="9"/>
    </w:pPr>
    <w:rPr>
      <w:rFonts w:ascii="宋体" w:eastAsia="宋体"/>
    </w:rPr>
  </w:style>
  <w:style w:type="paragraph" w:customStyle="1" w:styleId="185">
    <w:name w:val="标准_四级无标题"/>
    <w:basedOn w:val="121"/>
    <w:next w:val="80"/>
    <w:qFormat/>
    <w:uiPriority w:val="0"/>
    <w:rPr>
      <w:rFonts w:eastAsia="宋体"/>
    </w:rPr>
  </w:style>
  <w:style w:type="paragraph" w:customStyle="1" w:styleId="186">
    <w:name w:val="标准文件_四级无标题"/>
    <w:basedOn w:val="121"/>
    <w:autoRedefine/>
    <w:qFormat/>
    <w:uiPriority w:val="0"/>
    <w:pPr>
      <w:spacing w:beforeLines="0" w:afterLines="0"/>
      <w:outlineLvl w:val="9"/>
    </w:pPr>
    <w:rPr>
      <w:rFonts w:ascii="宋体" w:hAnsi="黑体" w:eastAsia="宋体"/>
      <w:szCs w:val="52"/>
    </w:rPr>
  </w:style>
  <w:style w:type="paragraph" w:customStyle="1" w:styleId="187">
    <w:name w:val="标准文件_大写罗马数字编号列项"/>
    <w:basedOn w:val="80"/>
    <w:autoRedefine/>
    <w:qFormat/>
    <w:uiPriority w:val="0"/>
    <w:pPr>
      <w:numPr>
        <w:ilvl w:val="0"/>
        <w:numId w:val="23"/>
      </w:numPr>
      <w:tabs>
        <w:tab w:val="left" w:pos="330"/>
        <w:tab w:val="clear" w:pos="851"/>
      </w:tabs>
      <w:ind w:left="948" w:firstLine="0" w:firstLineChars="0"/>
    </w:pPr>
    <w:rPr>
      <w:rFonts w:ascii="Times New Roman" w:cs="Arial"/>
      <w:szCs w:val="28"/>
    </w:rPr>
  </w:style>
  <w:style w:type="paragraph" w:customStyle="1" w:styleId="188">
    <w:name w:val="标准文件_小写罗马数字编号列项"/>
    <w:basedOn w:val="80"/>
    <w:autoRedefine/>
    <w:uiPriority w:val="0"/>
    <w:pPr>
      <w:numPr>
        <w:ilvl w:val="0"/>
        <w:numId w:val="24"/>
      </w:numPr>
      <w:ind w:firstLine="0" w:firstLineChars="0"/>
    </w:pPr>
    <w:rPr>
      <w:rFonts w:cs="Arial"/>
      <w:szCs w:val="28"/>
    </w:rPr>
  </w:style>
  <w:style w:type="paragraph" w:customStyle="1" w:styleId="189">
    <w:name w:val="标准文件_附录标题"/>
    <w:basedOn w:val="100"/>
    <w:autoRedefine/>
    <w:qFormat/>
    <w:uiPriority w:val="0"/>
    <w:pPr>
      <w:numPr>
        <w:numId w:val="0"/>
      </w:numPr>
      <w:spacing w:after="280"/>
      <w:outlineLvl w:val="9"/>
    </w:pPr>
  </w:style>
  <w:style w:type="paragraph" w:customStyle="1" w:styleId="190">
    <w:name w:val="标准文件_二级项"/>
    <w:uiPriority w:val="0"/>
    <w:rPr>
      <w:rFonts w:ascii="宋体" w:hAnsi="Times New Roman" w:eastAsia="宋体" w:cs="Times New Roman"/>
      <w:kern w:val="0"/>
      <w:sz w:val="21"/>
      <w:szCs w:val="20"/>
      <w:lang w:val="en-US" w:eastAsia="zh-CN" w:bidi="ar-SA"/>
    </w:rPr>
  </w:style>
  <w:style w:type="paragraph" w:customStyle="1" w:styleId="191">
    <w:name w:val="标准文件_三级项"/>
    <w:basedOn w:val="1"/>
    <w:autoRedefine/>
    <w:uiPriority w:val="0"/>
    <w:pPr>
      <w:numPr>
        <w:ilvl w:val="2"/>
        <w:numId w:val="21"/>
      </w:numPr>
      <w:adjustRightInd w:val="0"/>
      <w:spacing w:line="300" w:lineRule="auto"/>
    </w:pPr>
    <w:rPr>
      <w:rFonts w:ascii="Times New Roman" w:hAnsi="Times New Roman" w:eastAsia="宋体" w:cs="Times New Roman"/>
      <w:szCs w:val="21"/>
    </w:rPr>
  </w:style>
  <w:style w:type="paragraph" w:customStyle="1" w:styleId="192">
    <w:name w:val="图表脚注说明"/>
    <w:basedOn w:val="1"/>
    <w:next w:val="80"/>
    <w:autoRedefine/>
    <w:uiPriority w:val="0"/>
    <w:pPr>
      <w:numPr>
        <w:ilvl w:val="0"/>
        <w:numId w:val="25"/>
      </w:numPr>
      <w:ind w:left="783"/>
    </w:pPr>
    <w:rPr>
      <w:rFonts w:ascii="宋体" w:hAnsi="Times New Roman" w:eastAsia="宋体" w:cs="Times New Roman"/>
      <w:sz w:val="18"/>
      <w:szCs w:val="18"/>
    </w:rPr>
  </w:style>
  <w:style w:type="paragraph" w:customStyle="1" w:styleId="193">
    <w:name w:val="标准文件_字母编号列项（一级）"/>
    <w:autoRedefine/>
    <w:qFormat/>
    <w:uiPriority w:val="0"/>
    <w:pPr>
      <w:numPr>
        <w:ilvl w:val="0"/>
        <w:numId w:val="15"/>
      </w:numPr>
      <w:jc w:val="both"/>
    </w:pPr>
    <w:rPr>
      <w:rFonts w:ascii="宋体" w:hAnsi="Times New Roman" w:eastAsia="宋体" w:cs="Times New Roman"/>
      <w:kern w:val="0"/>
      <w:sz w:val="21"/>
      <w:szCs w:val="20"/>
      <w:lang w:val="en-US" w:eastAsia="zh-CN" w:bidi="ar-SA"/>
    </w:rPr>
  </w:style>
  <w:style w:type="paragraph" w:customStyle="1" w:styleId="194">
    <w:name w:val="标准文件_索引字母"/>
    <w:next w:val="80"/>
    <w:autoRedefine/>
    <w:qFormat/>
    <w:uiPriority w:val="0"/>
    <w:pPr>
      <w:jc w:val="center"/>
    </w:pPr>
    <w:rPr>
      <w:rFonts w:ascii="宋体" w:hAnsi="宋体" w:eastAsia="Times New Roman" w:cs="Times New Roman"/>
      <w:b/>
      <w:kern w:val="2"/>
      <w:sz w:val="21"/>
      <w:szCs w:val="20"/>
      <w:lang w:val="en-US" w:eastAsia="zh-CN" w:bidi="ar-SA"/>
    </w:rPr>
  </w:style>
  <w:style w:type="paragraph" w:customStyle="1" w:styleId="195">
    <w:name w:val="标准文件_附录前"/>
    <w:next w:val="80"/>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96">
    <w:name w:val="标准文件_正文标准名称"/>
    <w:autoRedefine/>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97">
    <w:name w:val="标准文件_表格"/>
    <w:basedOn w:val="80"/>
    <w:qFormat/>
    <w:uiPriority w:val="0"/>
    <w:pPr>
      <w:ind w:firstLine="0" w:firstLineChars="0"/>
      <w:jc w:val="center"/>
    </w:pPr>
    <w:rPr>
      <w:sz w:val="18"/>
    </w:rPr>
  </w:style>
  <w:style w:type="paragraph" w:customStyle="1" w:styleId="198">
    <w:name w:val="标准文件_注："/>
    <w:next w:val="80"/>
    <w:autoRedefine/>
    <w:qFormat/>
    <w:uiPriority w:val="0"/>
    <w:pPr>
      <w:widowControl w:val="0"/>
      <w:numPr>
        <w:ilvl w:val="0"/>
        <w:numId w:val="26"/>
      </w:numPr>
      <w:autoSpaceDE w:val="0"/>
      <w:autoSpaceDN w:val="0"/>
      <w:jc w:val="both"/>
    </w:pPr>
    <w:rPr>
      <w:rFonts w:ascii="宋体" w:hAnsi="Times New Roman" w:eastAsia="宋体" w:cs="Times New Roman"/>
      <w:kern w:val="0"/>
      <w:sz w:val="18"/>
      <w:szCs w:val="18"/>
      <w:lang w:val="en-US" w:eastAsia="zh-CN" w:bidi="ar-SA"/>
    </w:rPr>
  </w:style>
  <w:style w:type="paragraph" w:customStyle="1" w:styleId="199">
    <w:name w:val="标准文件_注×："/>
    <w:qFormat/>
    <w:uiPriority w:val="0"/>
    <w:pPr>
      <w:widowControl w:val="0"/>
      <w:numPr>
        <w:ilvl w:val="0"/>
        <w:numId w:val="27"/>
      </w:numPr>
      <w:autoSpaceDE w:val="0"/>
      <w:autoSpaceDN w:val="0"/>
      <w:jc w:val="both"/>
    </w:pPr>
    <w:rPr>
      <w:rFonts w:ascii="宋体" w:hAnsi="Times New Roman" w:eastAsia="宋体" w:cs="Times New Roman"/>
      <w:kern w:val="0"/>
      <w:sz w:val="18"/>
      <w:szCs w:val="18"/>
      <w:lang w:val="en-US" w:eastAsia="zh-CN" w:bidi="ar-SA"/>
    </w:rPr>
  </w:style>
  <w:style w:type="paragraph" w:customStyle="1" w:styleId="200">
    <w:name w:val="标准文件_示例："/>
    <w:next w:val="201"/>
    <w:autoRedefine/>
    <w:uiPriority w:val="0"/>
    <w:pPr>
      <w:widowControl w:val="0"/>
      <w:numPr>
        <w:ilvl w:val="0"/>
        <w:numId w:val="28"/>
      </w:numPr>
      <w:jc w:val="both"/>
    </w:pPr>
    <w:rPr>
      <w:rFonts w:ascii="宋体" w:hAnsi="Times New Roman" w:eastAsia="宋体" w:cs="Times New Roman"/>
      <w:kern w:val="0"/>
      <w:sz w:val="18"/>
      <w:szCs w:val="18"/>
      <w:lang w:val="en-US" w:eastAsia="zh-CN" w:bidi="ar-SA"/>
    </w:rPr>
  </w:style>
  <w:style w:type="paragraph" w:customStyle="1" w:styleId="201">
    <w:name w:val="标准文件_示例内容"/>
    <w:basedOn w:val="80"/>
    <w:qFormat/>
    <w:uiPriority w:val="0"/>
    <w:pPr>
      <w:ind w:firstLine="420"/>
    </w:pPr>
    <w:rPr>
      <w:sz w:val="18"/>
    </w:rPr>
  </w:style>
  <w:style w:type="paragraph" w:customStyle="1" w:styleId="202">
    <w:name w:val="标准文件_示例×："/>
    <w:basedOn w:val="1"/>
    <w:next w:val="201"/>
    <w:autoRedefine/>
    <w:qFormat/>
    <w:uiPriority w:val="0"/>
    <w:pPr>
      <w:widowControl/>
      <w:numPr>
        <w:ilvl w:val="0"/>
        <w:numId w:val="29"/>
      </w:numPr>
    </w:pPr>
    <w:rPr>
      <w:rFonts w:ascii="宋体" w:hAnsi="Times New Roman" w:eastAsia="宋体" w:cs="Times New Roman"/>
      <w:kern w:val="0"/>
      <w:sz w:val="18"/>
      <w:szCs w:val="18"/>
    </w:rPr>
  </w:style>
  <w:style w:type="character" w:customStyle="1" w:styleId="203">
    <w:name w:val="标准文件_段 Char"/>
    <w:link w:val="80"/>
    <w:qFormat/>
    <w:uiPriority w:val="0"/>
    <w:rPr>
      <w:rFonts w:ascii="宋体" w:hAnsi="Times New Roman" w:eastAsia="宋体" w:cs="Times New Roman"/>
      <w:kern w:val="0"/>
      <w:szCs w:val="20"/>
    </w:rPr>
  </w:style>
  <w:style w:type="paragraph" w:customStyle="1" w:styleId="204">
    <w:name w:val="标准文件_表格续"/>
    <w:basedOn w:val="80"/>
    <w:next w:val="80"/>
    <w:autoRedefine/>
    <w:qFormat/>
    <w:uiPriority w:val="0"/>
    <w:pPr>
      <w:jc w:val="center"/>
    </w:pPr>
    <w:rPr>
      <w:rFonts w:ascii="黑体" w:hAnsi="黑体" w:eastAsia="黑体"/>
    </w:rPr>
  </w:style>
  <w:style w:type="character" w:styleId="205">
    <w:name w:val="Placeholder Text"/>
    <w:basedOn w:val="32"/>
    <w:autoRedefine/>
    <w:semiHidden/>
    <w:qFormat/>
    <w:uiPriority w:val="99"/>
    <w:rPr>
      <w:color w:val="808080"/>
    </w:rPr>
  </w:style>
  <w:style w:type="paragraph" w:customStyle="1" w:styleId="206">
    <w:name w:val="标准文件_二级项2"/>
    <w:basedOn w:val="80"/>
    <w:autoRedefine/>
    <w:qFormat/>
    <w:uiPriority w:val="0"/>
    <w:pPr>
      <w:numPr>
        <w:ilvl w:val="1"/>
        <w:numId w:val="21"/>
      </w:numPr>
      <w:ind w:left="1271" w:hanging="420" w:firstLineChars="0"/>
    </w:pPr>
  </w:style>
  <w:style w:type="paragraph" w:customStyle="1" w:styleId="207">
    <w:name w:val="标准文件_三级项2"/>
    <w:basedOn w:val="80"/>
    <w:qFormat/>
    <w:uiPriority w:val="0"/>
    <w:pPr>
      <w:numPr>
        <w:ilvl w:val="0"/>
        <w:numId w:val="30"/>
      </w:numPr>
      <w:spacing w:line="300" w:lineRule="exact"/>
      <w:ind w:left="1276" w:hanging="425" w:firstLineChars="0"/>
    </w:pPr>
    <w:rPr>
      <w:rFonts w:ascii="Times New Roman"/>
    </w:rPr>
  </w:style>
  <w:style w:type="paragraph" w:customStyle="1" w:styleId="208">
    <w:name w:val="标准文件_一级项2"/>
    <w:basedOn w:val="80"/>
    <w:autoRedefine/>
    <w:qFormat/>
    <w:uiPriority w:val="0"/>
    <w:pPr>
      <w:numPr>
        <w:ilvl w:val="0"/>
        <w:numId w:val="31"/>
      </w:numPr>
      <w:spacing w:line="300" w:lineRule="exact"/>
      <w:ind w:left="1271" w:hanging="420" w:firstLineChars="0"/>
    </w:pPr>
    <w:rPr>
      <w:rFonts w:ascii="Times New Roman"/>
    </w:rPr>
  </w:style>
  <w:style w:type="paragraph" w:customStyle="1" w:styleId="209">
    <w:name w:val="标准文件_提示"/>
    <w:basedOn w:val="80"/>
    <w:next w:val="80"/>
    <w:qFormat/>
    <w:uiPriority w:val="0"/>
    <w:pPr>
      <w:ind w:firstLine="420"/>
    </w:pPr>
    <w:rPr>
      <w:rFonts w:ascii="黑体" w:eastAsia="黑体"/>
    </w:rPr>
  </w:style>
  <w:style w:type="character" w:customStyle="1" w:styleId="210">
    <w:name w:val="标准文件_来源"/>
    <w:basedOn w:val="32"/>
    <w:autoRedefine/>
    <w:qFormat/>
    <w:uiPriority w:val="1"/>
    <w:rPr>
      <w:rFonts w:eastAsia="宋体"/>
      <w:sz w:val="21"/>
    </w:rPr>
  </w:style>
  <w:style w:type="paragraph" w:customStyle="1" w:styleId="211">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212">
    <w:name w:val="标准文件_文件编号"/>
    <w:basedOn w:val="8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13">
    <w:name w:val="标准文件_替换文件编号"/>
    <w:basedOn w:val="212"/>
    <w:qFormat/>
    <w:uiPriority w:val="0"/>
    <w:pPr>
      <w:spacing w:before="57"/>
    </w:pPr>
    <w:rPr>
      <w:sz w:val="21"/>
    </w:rPr>
  </w:style>
  <w:style w:type="paragraph" w:customStyle="1" w:styleId="214">
    <w:name w:val="标准文件_文件名称"/>
    <w:basedOn w:val="80"/>
    <w:next w:val="8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15">
    <w:name w:val="标准文件_附录图标号"/>
    <w:basedOn w:val="80"/>
    <w:next w:val="80"/>
    <w:autoRedefine/>
    <w:qFormat/>
    <w:uiPriority w:val="0"/>
    <w:pPr>
      <w:numPr>
        <w:ilvl w:val="0"/>
        <w:numId w:val="8"/>
      </w:numPr>
      <w:spacing w:line="14" w:lineRule="exact"/>
      <w:ind w:left="0" w:firstLine="0" w:firstLineChars="0"/>
      <w:jc w:val="center"/>
    </w:pPr>
    <w:rPr>
      <w:rFonts w:ascii="黑体" w:hAnsi="黑体" w:eastAsia="黑体"/>
      <w:vanish/>
      <w:sz w:val="2"/>
      <w:szCs w:val="21"/>
    </w:rPr>
  </w:style>
  <w:style w:type="paragraph" w:customStyle="1" w:styleId="216">
    <w:name w:val="标准文件_附录表标号"/>
    <w:basedOn w:val="80"/>
    <w:next w:val="80"/>
    <w:autoRedefine/>
    <w:qFormat/>
    <w:uiPriority w:val="0"/>
    <w:pPr>
      <w:numPr>
        <w:ilvl w:val="0"/>
        <w:numId w:val="7"/>
      </w:numPr>
      <w:spacing w:line="14" w:lineRule="exact"/>
      <w:ind w:left="823" w:firstLine="0" w:firstLineChars="0"/>
      <w:jc w:val="center"/>
    </w:pPr>
    <w:rPr>
      <w:rFonts w:eastAsia="黑体"/>
      <w:vanish/>
      <w:sz w:val="2"/>
    </w:rPr>
  </w:style>
  <w:style w:type="paragraph" w:customStyle="1" w:styleId="217">
    <w:name w:val="标准文件_引言一级条标题"/>
    <w:basedOn w:val="80"/>
    <w:next w:val="80"/>
    <w:autoRedefine/>
    <w:qFormat/>
    <w:uiPriority w:val="0"/>
    <w:pPr>
      <w:numPr>
        <w:ilvl w:val="1"/>
        <w:numId w:val="10"/>
      </w:numPr>
      <w:spacing w:beforeLines="50" w:afterLines="50"/>
      <w:ind w:firstLineChars="0"/>
    </w:pPr>
    <w:rPr>
      <w:rFonts w:ascii="黑体" w:eastAsia="黑体"/>
    </w:rPr>
  </w:style>
  <w:style w:type="paragraph" w:customStyle="1" w:styleId="218">
    <w:name w:val="标准文件_引言二级条标题"/>
    <w:basedOn w:val="80"/>
    <w:next w:val="80"/>
    <w:autoRedefine/>
    <w:qFormat/>
    <w:uiPriority w:val="0"/>
    <w:pPr>
      <w:numPr>
        <w:ilvl w:val="2"/>
        <w:numId w:val="10"/>
      </w:numPr>
      <w:spacing w:beforeLines="50" w:afterLines="50"/>
      <w:ind w:left="1260" w:hanging="420" w:firstLineChars="0"/>
    </w:pPr>
    <w:rPr>
      <w:rFonts w:ascii="黑体" w:eastAsia="黑体"/>
    </w:rPr>
  </w:style>
  <w:style w:type="paragraph" w:customStyle="1" w:styleId="219">
    <w:name w:val="标准文件_引言三级条标题"/>
    <w:basedOn w:val="80"/>
    <w:next w:val="80"/>
    <w:autoRedefine/>
    <w:qFormat/>
    <w:uiPriority w:val="0"/>
    <w:pPr>
      <w:numPr>
        <w:ilvl w:val="3"/>
        <w:numId w:val="10"/>
      </w:numPr>
      <w:spacing w:beforeLines="50" w:afterLines="50"/>
      <w:ind w:left="1680" w:hanging="420" w:firstLineChars="0"/>
    </w:pPr>
    <w:rPr>
      <w:rFonts w:ascii="黑体" w:eastAsia="黑体"/>
    </w:rPr>
  </w:style>
  <w:style w:type="paragraph" w:customStyle="1" w:styleId="220">
    <w:name w:val="标准文件_引言四级条标题"/>
    <w:basedOn w:val="80"/>
    <w:next w:val="80"/>
    <w:autoRedefine/>
    <w:qFormat/>
    <w:uiPriority w:val="0"/>
    <w:pPr>
      <w:numPr>
        <w:ilvl w:val="4"/>
        <w:numId w:val="10"/>
      </w:numPr>
      <w:spacing w:beforeLines="50" w:afterLines="50"/>
      <w:ind w:left="2100" w:hanging="420" w:firstLineChars="0"/>
    </w:pPr>
    <w:rPr>
      <w:rFonts w:ascii="黑体" w:eastAsia="黑体"/>
    </w:rPr>
  </w:style>
  <w:style w:type="paragraph" w:customStyle="1" w:styleId="221">
    <w:name w:val="标准文件_引言五级条标题"/>
    <w:basedOn w:val="80"/>
    <w:next w:val="80"/>
    <w:autoRedefine/>
    <w:qFormat/>
    <w:uiPriority w:val="0"/>
    <w:pPr>
      <w:numPr>
        <w:ilvl w:val="5"/>
        <w:numId w:val="10"/>
      </w:numPr>
      <w:spacing w:beforeLines="50" w:afterLines="50"/>
      <w:ind w:left="2520" w:hanging="420" w:firstLineChars="0"/>
    </w:pPr>
    <w:rPr>
      <w:rFonts w:ascii="黑体" w:eastAsia="黑体"/>
    </w:rPr>
  </w:style>
  <w:style w:type="paragraph" w:customStyle="1" w:styleId="222">
    <w:name w:val="标准文件_注后"/>
    <w:basedOn w:val="80"/>
    <w:qFormat/>
    <w:uiPriority w:val="0"/>
    <w:pPr>
      <w:ind w:left="811" w:firstLine="0" w:firstLineChars="0"/>
    </w:pPr>
    <w:rPr>
      <w:sz w:val="18"/>
    </w:rPr>
  </w:style>
  <w:style w:type="paragraph" w:customStyle="1" w:styleId="223">
    <w:name w:val="标准文件_注X后"/>
    <w:basedOn w:val="80"/>
    <w:autoRedefine/>
    <w:qFormat/>
    <w:uiPriority w:val="0"/>
    <w:pPr>
      <w:ind w:left="811" w:firstLine="0" w:firstLineChars="0"/>
    </w:pPr>
    <w:rPr>
      <w:sz w:val="18"/>
    </w:rPr>
  </w:style>
  <w:style w:type="paragraph" w:customStyle="1" w:styleId="224">
    <w:name w:val="标准文件_示例后"/>
    <w:basedOn w:val="80"/>
    <w:qFormat/>
    <w:uiPriority w:val="0"/>
    <w:pPr>
      <w:ind w:left="964" w:firstLine="0" w:firstLineChars="0"/>
    </w:pPr>
    <w:rPr>
      <w:sz w:val="18"/>
    </w:rPr>
  </w:style>
  <w:style w:type="paragraph" w:customStyle="1" w:styleId="225">
    <w:name w:val="标准文件_示例X后"/>
    <w:basedOn w:val="80"/>
    <w:link w:val="226"/>
    <w:qFormat/>
    <w:uiPriority w:val="0"/>
    <w:pPr>
      <w:ind w:left="1049" w:firstLine="0" w:firstLineChars="0"/>
    </w:pPr>
    <w:rPr>
      <w:sz w:val="18"/>
    </w:rPr>
  </w:style>
  <w:style w:type="character" w:customStyle="1" w:styleId="226">
    <w:name w:val="标准文件_示例X后 字符"/>
    <w:basedOn w:val="203"/>
    <w:link w:val="225"/>
    <w:autoRedefine/>
    <w:qFormat/>
    <w:uiPriority w:val="0"/>
    <w:rPr>
      <w:rFonts w:ascii="宋体" w:hAnsi="Times New Roman" w:eastAsia="宋体" w:cs="Times New Roman"/>
      <w:kern w:val="0"/>
      <w:sz w:val="18"/>
      <w:szCs w:val="20"/>
    </w:rPr>
  </w:style>
  <w:style w:type="paragraph" w:customStyle="1" w:styleId="227">
    <w:name w:val="标准文件_索引项"/>
    <w:basedOn w:val="80"/>
    <w:next w:val="80"/>
    <w:autoRedefine/>
    <w:qFormat/>
    <w:uiPriority w:val="0"/>
    <w:pPr>
      <w:tabs>
        <w:tab w:val="right" w:leader="dot" w:pos="9356"/>
      </w:tabs>
      <w:ind w:left="210" w:hanging="210" w:firstLineChars="0"/>
      <w:jc w:val="left"/>
    </w:pPr>
  </w:style>
  <w:style w:type="paragraph" w:customStyle="1" w:styleId="228">
    <w:name w:val="标准文件_附录一级无标题"/>
    <w:basedOn w:val="102"/>
    <w:autoRedefine/>
    <w:qFormat/>
    <w:uiPriority w:val="0"/>
    <w:pPr>
      <w:spacing w:beforeLines="0" w:afterLines="0" w:line="276" w:lineRule="auto"/>
      <w:outlineLvl w:val="9"/>
    </w:pPr>
    <w:rPr>
      <w:rFonts w:ascii="宋体" w:eastAsia="宋体"/>
    </w:rPr>
  </w:style>
  <w:style w:type="paragraph" w:customStyle="1" w:styleId="229">
    <w:name w:val="标准文件_附录二级无标题"/>
    <w:basedOn w:val="103"/>
    <w:autoRedefine/>
    <w:qFormat/>
    <w:uiPriority w:val="0"/>
    <w:pPr>
      <w:spacing w:beforeLines="0" w:afterLines="0" w:line="276" w:lineRule="auto"/>
      <w:outlineLvl w:val="9"/>
    </w:pPr>
    <w:rPr>
      <w:rFonts w:ascii="宋体" w:eastAsia="宋体"/>
    </w:rPr>
  </w:style>
  <w:style w:type="paragraph" w:customStyle="1" w:styleId="230">
    <w:name w:val="标准文件_附录三级无标题"/>
    <w:basedOn w:val="105"/>
    <w:autoRedefine/>
    <w:qFormat/>
    <w:uiPriority w:val="0"/>
    <w:pPr>
      <w:spacing w:beforeLines="0" w:afterLines="0" w:line="276" w:lineRule="auto"/>
      <w:outlineLvl w:val="9"/>
    </w:pPr>
    <w:rPr>
      <w:rFonts w:ascii="宋体" w:eastAsia="宋体"/>
    </w:rPr>
  </w:style>
  <w:style w:type="paragraph" w:customStyle="1" w:styleId="231">
    <w:name w:val="标准文件_附录四级无标题"/>
    <w:basedOn w:val="106"/>
    <w:autoRedefine/>
    <w:qFormat/>
    <w:uiPriority w:val="0"/>
    <w:pPr>
      <w:spacing w:beforeLines="0" w:afterLines="0" w:line="276" w:lineRule="auto"/>
      <w:outlineLvl w:val="9"/>
    </w:pPr>
    <w:rPr>
      <w:rFonts w:ascii="宋体" w:eastAsia="宋体"/>
    </w:rPr>
  </w:style>
  <w:style w:type="paragraph" w:customStyle="1" w:styleId="232">
    <w:name w:val="标准文件_附录五级无标题"/>
    <w:basedOn w:val="108"/>
    <w:autoRedefine/>
    <w:qFormat/>
    <w:uiPriority w:val="0"/>
    <w:pPr>
      <w:spacing w:beforeLines="0" w:afterLines="0" w:line="276" w:lineRule="auto"/>
      <w:outlineLvl w:val="9"/>
    </w:pPr>
    <w:rPr>
      <w:rFonts w:ascii="宋体" w:eastAsia="宋体"/>
    </w:rPr>
  </w:style>
  <w:style w:type="paragraph" w:customStyle="1" w:styleId="233">
    <w:name w:val="标准文件_引言一级无标题"/>
    <w:basedOn w:val="217"/>
    <w:next w:val="80"/>
    <w:autoRedefine/>
    <w:qFormat/>
    <w:uiPriority w:val="0"/>
    <w:pPr>
      <w:spacing w:beforeLines="0" w:afterLines="0" w:line="276" w:lineRule="auto"/>
    </w:pPr>
    <w:rPr>
      <w:rFonts w:ascii="宋体" w:eastAsia="宋体"/>
    </w:rPr>
  </w:style>
  <w:style w:type="paragraph" w:customStyle="1" w:styleId="234">
    <w:name w:val="标准文件_引言二级无标题"/>
    <w:basedOn w:val="218"/>
    <w:next w:val="80"/>
    <w:autoRedefine/>
    <w:qFormat/>
    <w:uiPriority w:val="0"/>
    <w:pPr>
      <w:spacing w:beforeLines="0" w:afterLines="0" w:line="276" w:lineRule="auto"/>
    </w:pPr>
    <w:rPr>
      <w:rFonts w:ascii="宋体" w:eastAsia="宋体"/>
    </w:rPr>
  </w:style>
  <w:style w:type="paragraph" w:customStyle="1" w:styleId="235">
    <w:name w:val="标准文件_引言三级无标题"/>
    <w:basedOn w:val="219"/>
    <w:next w:val="80"/>
    <w:autoRedefine/>
    <w:qFormat/>
    <w:uiPriority w:val="0"/>
    <w:pPr>
      <w:spacing w:beforeLines="0" w:afterLines="0" w:line="276" w:lineRule="auto"/>
    </w:pPr>
    <w:rPr>
      <w:rFonts w:ascii="宋体" w:eastAsia="宋体"/>
    </w:rPr>
  </w:style>
  <w:style w:type="paragraph" w:customStyle="1" w:styleId="236">
    <w:name w:val="标准文件_引言四级无标题"/>
    <w:basedOn w:val="220"/>
    <w:next w:val="80"/>
    <w:autoRedefine/>
    <w:qFormat/>
    <w:uiPriority w:val="0"/>
    <w:pPr>
      <w:spacing w:beforeLines="0" w:afterLines="0" w:line="276" w:lineRule="auto"/>
    </w:pPr>
    <w:rPr>
      <w:rFonts w:ascii="宋体" w:eastAsia="宋体"/>
    </w:rPr>
  </w:style>
  <w:style w:type="paragraph" w:customStyle="1" w:styleId="237">
    <w:name w:val="标准文件_引言五级无标题"/>
    <w:basedOn w:val="221"/>
    <w:next w:val="80"/>
    <w:autoRedefine/>
    <w:qFormat/>
    <w:uiPriority w:val="0"/>
    <w:pPr>
      <w:spacing w:beforeLines="0" w:afterLines="0" w:line="276" w:lineRule="auto"/>
    </w:pPr>
    <w:rPr>
      <w:rFonts w:ascii="宋体" w:eastAsia="宋体"/>
    </w:rPr>
  </w:style>
  <w:style w:type="paragraph" w:customStyle="1" w:styleId="238">
    <w:name w:val="标准文件_索引标题"/>
    <w:basedOn w:val="87"/>
    <w:next w:val="80"/>
    <w:autoRedefine/>
    <w:qFormat/>
    <w:uiPriority w:val="0"/>
    <w:rPr>
      <w:rFonts w:hAnsi="黑体"/>
    </w:rPr>
  </w:style>
  <w:style w:type="paragraph" w:customStyle="1" w:styleId="239">
    <w:name w:val="标准文件_脚注内容"/>
    <w:basedOn w:val="80"/>
    <w:autoRedefine/>
    <w:qFormat/>
    <w:uiPriority w:val="0"/>
    <w:pPr>
      <w:ind w:left="400" w:leftChars="200" w:hanging="200" w:hangingChars="200"/>
    </w:pPr>
    <w:rPr>
      <w:sz w:val="15"/>
    </w:rPr>
  </w:style>
  <w:style w:type="paragraph" w:customStyle="1" w:styleId="240">
    <w:name w:val="标准文件_术语条一"/>
    <w:basedOn w:val="181"/>
    <w:next w:val="80"/>
    <w:autoRedefine/>
    <w:qFormat/>
    <w:uiPriority w:val="0"/>
  </w:style>
  <w:style w:type="paragraph" w:customStyle="1" w:styleId="241">
    <w:name w:val="标准文件_术语条二"/>
    <w:basedOn w:val="184"/>
    <w:next w:val="80"/>
    <w:autoRedefine/>
    <w:qFormat/>
    <w:uiPriority w:val="0"/>
  </w:style>
  <w:style w:type="paragraph" w:customStyle="1" w:styleId="242">
    <w:name w:val="标准文件_术语条三"/>
    <w:basedOn w:val="183"/>
    <w:next w:val="80"/>
    <w:autoRedefine/>
    <w:qFormat/>
    <w:uiPriority w:val="0"/>
  </w:style>
  <w:style w:type="paragraph" w:customStyle="1" w:styleId="243">
    <w:name w:val="标准文件_术语条四"/>
    <w:basedOn w:val="186"/>
    <w:next w:val="80"/>
    <w:autoRedefine/>
    <w:qFormat/>
    <w:uiPriority w:val="0"/>
  </w:style>
  <w:style w:type="paragraph" w:customStyle="1" w:styleId="244">
    <w:name w:val="标准文件_术语条五"/>
    <w:basedOn w:val="182"/>
    <w:next w:val="80"/>
    <w:autoRedefine/>
    <w:qFormat/>
    <w:uiPriority w:val="0"/>
  </w:style>
  <w:style w:type="paragraph" w:customStyle="1" w:styleId="245">
    <w:name w:val="Default"/>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46">
    <w:name w:val="发布"/>
    <w:basedOn w:val="32"/>
    <w:autoRedefine/>
    <w:qFormat/>
    <w:uiPriority w:val="0"/>
    <w:rPr>
      <w:rFonts w:ascii="黑体" w:eastAsia="黑体"/>
      <w:spacing w:val="85"/>
      <w:w w:val="100"/>
      <w:position w:val="3"/>
      <w:sz w:val="28"/>
      <w:szCs w:val="28"/>
    </w:rPr>
  </w:style>
  <w:style w:type="paragraph" w:customStyle="1" w:styleId="247">
    <w:name w:val="列项——（一级）"/>
    <w:autoRedefine/>
    <w:qFormat/>
    <w:uiPriority w:val="0"/>
    <w:pPr>
      <w:widowControl w:val="0"/>
      <w:ind w:left="833" w:hanging="408"/>
      <w:jc w:val="both"/>
    </w:pPr>
    <w:rPr>
      <w:rFonts w:ascii="宋体" w:hAnsi="Times New Roman" w:eastAsia="宋体" w:cs="Times New Roman"/>
      <w:kern w:val="0"/>
      <w:sz w:val="21"/>
      <w:szCs w:val="20"/>
      <w:lang w:val="en-US" w:eastAsia="zh-CN" w:bidi="ar-SA"/>
    </w:rPr>
  </w:style>
  <w:style w:type="paragraph" w:customStyle="1" w:styleId="248">
    <w:name w:val="字母编号列项（一级）"/>
    <w:autoRedefine/>
    <w:qFormat/>
    <w:uiPriority w:val="0"/>
    <w:pPr>
      <w:tabs>
        <w:tab w:val="left" w:pos="840"/>
      </w:tabs>
      <w:ind w:left="839" w:hanging="419"/>
      <w:jc w:val="both"/>
    </w:pPr>
    <w:rPr>
      <w:rFonts w:ascii="宋体" w:hAnsi="Times New Roman" w:eastAsia="宋体" w:cs="Times New Roman"/>
      <w:kern w:val="0"/>
      <w:sz w:val="21"/>
      <w:szCs w:val="20"/>
      <w:lang w:val="en-US" w:eastAsia="zh-CN" w:bidi="ar-SA"/>
    </w:rPr>
  </w:style>
  <w:style w:type="paragraph" w:customStyle="1" w:styleId="249">
    <w:name w:val="二级无"/>
    <w:basedOn w:val="52"/>
    <w:autoRedefine/>
    <w:qFormat/>
    <w:uiPriority w:val="0"/>
    <w:pPr>
      <w:numPr>
        <w:ilvl w:val="0"/>
        <w:numId w:val="0"/>
      </w:numPr>
      <w:spacing w:beforeLines="0" w:afterLines="0"/>
    </w:pPr>
    <w:rPr>
      <w:rFonts w:ascii="宋体" w:eastAsia="宋体"/>
    </w:rPr>
  </w:style>
  <w:style w:type="paragraph" w:customStyle="1" w:styleId="250">
    <w:name w:val="列项●（二级）"/>
    <w:autoRedefine/>
    <w:qFormat/>
    <w:uiPriority w:val="0"/>
    <w:pPr>
      <w:tabs>
        <w:tab w:val="left" w:pos="760"/>
        <w:tab w:val="left" w:pos="840"/>
      </w:tabs>
      <w:ind w:left="1264" w:hanging="413"/>
      <w:jc w:val="both"/>
    </w:pPr>
    <w:rPr>
      <w:rFonts w:ascii="宋体" w:hAnsi="Times New Roman" w:eastAsia="宋体" w:cs="Times New Roman"/>
      <w:kern w:val="0"/>
      <w:sz w:val="21"/>
      <w:szCs w:val="20"/>
      <w:lang w:val="en-US" w:eastAsia="zh-CN" w:bidi="ar-SA"/>
    </w:rPr>
  </w:style>
  <w:style w:type="paragraph" w:customStyle="1" w:styleId="251">
    <w:name w:val="注×："/>
    <w:autoRedefine/>
    <w:qFormat/>
    <w:uiPriority w:val="0"/>
    <w:pPr>
      <w:widowControl w:val="0"/>
      <w:autoSpaceDE w:val="0"/>
      <w:autoSpaceDN w:val="0"/>
      <w:ind w:left="811" w:hanging="448"/>
      <w:jc w:val="both"/>
    </w:pPr>
    <w:rPr>
      <w:rFonts w:ascii="宋体" w:hAnsi="Times New Roman" w:eastAsia="宋体" w:cs="Times New Roman"/>
      <w:kern w:val="0"/>
      <w:sz w:val="18"/>
      <w:szCs w:val="18"/>
      <w:lang w:val="en-US" w:eastAsia="zh-CN" w:bidi="ar-SA"/>
    </w:rPr>
  </w:style>
  <w:style w:type="paragraph" w:customStyle="1" w:styleId="252">
    <w:name w:val="列项◆（三级）"/>
    <w:basedOn w:val="1"/>
    <w:autoRedefine/>
    <w:qFormat/>
    <w:uiPriority w:val="0"/>
    <w:pPr>
      <w:tabs>
        <w:tab w:val="left" w:pos="1678"/>
      </w:tabs>
      <w:ind w:left="1678" w:hanging="414"/>
    </w:pPr>
    <w:rPr>
      <w:rFonts w:ascii="宋体" w:hAnsi="Times New Roman" w:eastAsia="宋体" w:cs="Times New Roman"/>
      <w:szCs w:val="21"/>
    </w:rPr>
  </w:style>
  <w:style w:type="paragraph" w:customStyle="1" w:styleId="253">
    <w:name w:val="附录公式"/>
    <w:basedOn w:val="40"/>
    <w:next w:val="40"/>
    <w:link w:val="254"/>
    <w:autoRedefine/>
    <w:qFormat/>
    <w:uiPriority w:val="0"/>
  </w:style>
  <w:style w:type="character" w:customStyle="1" w:styleId="254">
    <w:name w:val="附录公式 Char"/>
    <w:basedOn w:val="41"/>
    <w:link w:val="253"/>
    <w:autoRedefine/>
    <w:qFormat/>
    <w:uiPriority w:val="0"/>
    <w:rPr>
      <w:rFonts w:ascii="宋体" w:hAnsi="Times New Roman" w:eastAsia="宋体" w:cs="Times New Roman"/>
      <w:kern w:val="0"/>
      <w:szCs w:val="20"/>
    </w:rPr>
  </w:style>
  <w:style w:type="paragraph" w:customStyle="1" w:styleId="255">
    <w:name w:val="一级无"/>
    <w:basedOn w:val="50"/>
    <w:autoRedefine/>
    <w:qFormat/>
    <w:uiPriority w:val="0"/>
    <w:pPr>
      <w:numPr>
        <w:ilvl w:val="0"/>
        <w:numId w:val="0"/>
      </w:numPr>
      <w:spacing w:before="0" w:beforeLines="0" w:after="0" w:afterLines="0"/>
    </w:pPr>
    <w:rPr>
      <w:rFonts w:ascii="宋体" w:eastAsia="宋体"/>
    </w:rPr>
  </w:style>
  <w:style w:type="paragraph" w:customStyle="1" w:styleId="256">
    <w:name w:val="终结线"/>
    <w:basedOn w:val="1"/>
    <w:autoRedefine/>
    <w:qFormat/>
    <w:uiPriority w:val="0"/>
    <w:pPr>
      <w:framePr w:hSpace="181" w:vSpace="181" w:wrap="around" w:vAnchor="text" w:hAnchor="margin" w:xAlign="center" w:y="285"/>
    </w:pPr>
    <w:rPr>
      <w:rFonts w:ascii="Times New Roman" w:hAnsi="Times New Roman" w:eastAsia="宋体" w:cs="Times New Roman"/>
      <w:szCs w:val="24"/>
    </w:rPr>
  </w:style>
  <w:style w:type="paragraph" w:customStyle="1" w:styleId="257">
    <w:name w:val="注×：（正文）"/>
    <w:autoRedefine/>
    <w:qFormat/>
    <w:uiPriority w:val="0"/>
    <w:pPr>
      <w:numPr>
        <w:ilvl w:val="0"/>
        <w:numId w:val="32"/>
      </w:numPr>
      <w:jc w:val="both"/>
    </w:pPr>
    <w:rPr>
      <w:rFonts w:ascii="宋体" w:hAnsi="Times New Roman" w:eastAsia="宋体" w:cs="Times New Roman"/>
      <w:kern w:val="0"/>
      <w:sz w:val="18"/>
      <w:szCs w:val="18"/>
      <w:lang w:val="en-US" w:eastAsia="zh-CN" w:bidi="ar-SA"/>
    </w:rPr>
  </w:style>
  <w:style w:type="paragraph" w:customStyle="1" w:styleId="258">
    <w:name w:val="正文公式编号制表符"/>
    <w:basedOn w:val="40"/>
    <w:next w:val="40"/>
    <w:autoRedefine/>
    <w:qFormat/>
    <w:uiPriority w:val="0"/>
    <w:pPr>
      <w:ind w:firstLine="0" w:firstLineChars="0"/>
    </w:pPr>
  </w:style>
  <w:style w:type="paragraph" w:customStyle="1" w:styleId="259">
    <w:name w:val="附录标识"/>
    <w:basedOn w:val="1"/>
    <w:next w:val="40"/>
    <w:autoRedefine/>
    <w:qFormat/>
    <w:uiPriority w:val="0"/>
    <w:pPr>
      <w:keepNext/>
      <w:widowControl/>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260">
    <w:name w:val="附录表标号"/>
    <w:basedOn w:val="1"/>
    <w:next w:val="40"/>
    <w:autoRedefine/>
    <w:qFormat/>
    <w:uiPriority w:val="0"/>
    <w:pPr>
      <w:numPr>
        <w:ilvl w:val="0"/>
        <w:numId w:val="33"/>
      </w:numPr>
      <w:tabs>
        <w:tab w:val="clear" w:pos="0"/>
      </w:tabs>
      <w:spacing w:line="14" w:lineRule="exact"/>
      <w:ind w:left="811" w:hanging="448"/>
      <w:jc w:val="center"/>
      <w:outlineLvl w:val="0"/>
    </w:pPr>
    <w:rPr>
      <w:rFonts w:ascii="Times New Roman" w:hAnsi="Times New Roman" w:eastAsia="宋体" w:cs="Times New Roman"/>
      <w:color w:val="FFFFFF"/>
      <w:szCs w:val="24"/>
    </w:rPr>
  </w:style>
  <w:style w:type="paragraph" w:customStyle="1" w:styleId="261">
    <w:name w:val="附录表标题"/>
    <w:basedOn w:val="1"/>
    <w:next w:val="40"/>
    <w:autoRedefine/>
    <w:qFormat/>
    <w:uiPriority w:val="0"/>
    <w:pPr>
      <w:numPr>
        <w:ilvl w:val="1"/>
        <w:numId w:val="33"/>
      </w:numPr>
      <w:tabs>
        <w:tab w:val="left" w:pos="180"/>
      </w:tabs>
      <w:spacing w:beforeLines="50" w:afterLines="50"/>
      <w:ind w:left="0" w:firstLine="0"/>
      <w:jc w:val="center"/>
    </w:pPr>
    <w:rPr>
      <w:rFonts w:ascii="黑体" w:hAnsi="Times New Roman" w:eastAsia="黑体" w:cs="Times New Roman"/>
      <w:szCs w:val="21"/>
    </w:rPr>
  </w:style>
  <w:style w:type="paragraph" w:customStyle="1" w:styleId="262">
    <w:name w:val="附录二级条标题"/>
    <w:basedOn w:val="1"/>
    <w:next w:val="40"/>
    <w:autoRedefine/>
    <w:qFormat/>
    <w:uiPriority w:val="0"/>
    <w:pPr>
      <w:widowControl/>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263">
    <w:name w:val="附录三级条标题"/>
    <w:basedOn w:val="262"/>
    <w:next w:val="40"/>
    <w:autoRedefine/>
    <w:qFormat/>
    <w:uiPriority w:val="0"/>
    <w:pPr>
      <w:outlineLvl w:val="4"/>
    </w:pPr>
  </w:style>
  <w:style w:type="paragraph" w:customStyle="1" w:styleId="264">
    <w:name w:val="附录四级条标题"/>
    <w:basedOn w:val="263"/>
    <w:next w:val="40"/>
    <w:autoRedefine/>
    <w:qFormat/>
    <w:uiPriority w:val="0"/>
    <w:pPr>
      <w:outlineLvl w:val="5"/>
    </w:pPr>
  </w:style>
  <w:style w:type="paragraph" w:customStyle="1" w:styleId="265">
    <w:name w:val="附录五级条标题"/>
    <w:basedOn w:val="264"/>
    <w:next w:val="40"/>
    <w:autoRedefine/>
    <w:qFormat/>
    <w:uiPriority w:val="0"/>
    <w:pPr>
      <w:outlineLvl w:val="6"/>
    </w:pPr>
  </w:style>
  <w:style w:type="paragraph" w:customStyle="1" w:styleId="266">
    <w:name w:val="附录章标题"/>
    <w:next w:val="40"/>
    <w:autoRedefine/>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267">
    <w:name w:val="附录一级条标题"/>
    <w:basedOn w:val="266"/>
    <w:next w:val="40"/>
    <w:autoRedefine/>
    <w:qFormat/>
    <w:uiPriority w:val="0"/>
    <w:pPr>
      <w:autoSpaceDN w:val="0"/>
      <w:spacing w:beforeLines="50" w:afterLines="50"/>
      <w:outlineLvl w:val="2"/>
    </w:pPr>
  </w:style>
  <w:style w:type="character" w:customStyle="1" w:styleId="268">
    <w:name w:val="fontstyle01"/>
    <w:basedOn w:val="32"/>
    <w:autoRedefine/>
    <w:qFormat/>
    <w:uiPriority w:val="0"/>
    <w:rPr>
      <w:rFonts w:hint="eastAsia" w:ascii="宋体" w:hAnsi="宋体" w:eastAsia="宋体"/>
      <w:color w:val="000000"/>
      <w:sz w:val="22"/>
      <w:szCs w:val="22"/>
    </w:rPr>
  </w:style>
  <w:style w:type="character" w:customStyle="1" w:styleId="269">
    <w:name w:val="fontstyle21"/>
    <w:basedOn w:val="32"/>
    <w:autoRedefine/>
    <w:qFormat/>
    <w:uiPriority w:val="0"/>
    <w:rPr>
      <w:rFonts w:hint="default" w:ascii="TimesNewRomanPSMT" w:hAnsi="TimesNewRomanPSMT"/>
      <w:color w:val="000000"/>
      <w:sz w:val="22"/>
      <w:szCs w:val="22"/>
    </w:rPr>
  </w:style>
  <w:style w:type="character" w:customStyle="1" w:styleId="270">
    <w:name w:val="fontstyle11"/>
    <w:basedOn w:val="32"/>
    <w:autoRedefine/>
    <w:qFormat/>
    <w:uiPriority w:val="0"/>
    <w:rPr>
      <w:rFonts w:hint="eastAsia" w:ascii="宋体" w:hAnsi="宋体" w:eastAsia="宋体"/>
      <w:color w:val="000000"/>
      <w:sz w:val="22"/>
      <w:szCs w:val="22"/>
    </w:rPr>
  </w:style>
  <w:style w:type="paragraph" w:customStyle="1" w:styleId="271">
    <w:name w:val="数字编号列项（二级）"/>
    <w:autoRedefine/>
    <w:qFormat/>
    <w:uiPriority w:val="0"/>
    <w:pPr>
      <w:tabs>
        <w:tab w:val="left" w:pos="1260"/>
      </w:tabs>
      <w:ind w:left="1259" w:hanging="419"/>
      <w:jc w:val="both"/>
    </w:pPr>
    <w:rPr>
      <w:rFonts w:ascii="宋体" w:hAnsi="Times New Roman" w:eastAsia="宋体" w:cs="Times New Roman"/>
      <w:kern w:val="0"/>
      <w:sz w:val="21"/>
      <w:szCs w:val="20"/>
      <w:lang w:val="en-US" w:eastAsia="zh-CN" w:bidi="ar-SA"/>
    </w:rPr>
  </w:style>
  <w:style w:type="paragraph" w:customStyle="1" w:styleId="272">
    <w:name w:val="注："/>
    <w:next w:val="40"/>
    <w:autoRedefine/>
    <w:qFormat/>
    <w:uiPriority w:val="0"/>
    <w:pPr>
      <w:widowControl w:val="0"/>
      <w:autoSpaceDE w:val="0"/>
      <w:autoSpaceDN w:val="0"/>
      <w:ind w:left="726" w:hanging="363"/>
      <w:jc w:val="both"/>
    </w:pPr>
    <w:rPr>
      <w:rFonts w:ascii="宋体" w:hAnsi="Times New Roman" w:eastAsia="宋体" w:cs="Times New Roman"/>
      <w:kern w:val="0"/>
      <w:sz w:val="18"/>
      <w:szCs w:val="18"/>
      <w:lang w:val="en-US" w:eastAsia="zh-CN" w:bidi="ar-SA"/>
    </w:rPr>
  </w:style>
  <w:style w:type="paragraph" w:customStyle="1" w:styleId="273">
    <w:name w:val="编号列项（三级）"/>
    <w:autoRedefine/>
    <w:qFormat/>
    <w:uiPriority w:val="0"/>
    <w:pPr>
      <w:tabs>
        <w:tab w:val="left" w:pos="0"/>
      </w:tabs>
      <w:ind w:left="1679" w:hanging="420"/>
    </w:pPr>
    <w:rPr>
      <w:rFonts w:ascii="宋体" w:hAnsi="Times New Roman" w:eastAsia="宋体" w:cs="Times New Roman"/>
      <w:kern w:val="0"/>
      <w:sz w:val="21"/>
      <w:szCs w:val="20"/>
      <w:lang w:val="en-US" w:eastAsia="zh-CN" w:bidi="ar-SA"/>
    </w:rPr>
  </w:style>
  <w:style w:type="paragraph" w:customStyle="1" w:styleId="274">
    <w:name w:val="注：（正文）"/>
    <w:basedOn w:val="272"/>
    <w:next w:val="40"/>
    <w:autoRedefine/>
    <w:qFormat/>
    <w:uiPriority w:val="0"/>
    <w:pPr>
      <w:ind w:left="0" w:firstLine="0"/>
    </w:pPr>
  </w:style>
  <w:style w:type="paragraph" w:customStyle="1" w:styleId="275">
    <w:name w:val="附录图标号"/>
    <w:basedOn w:val="1"/>
    <w:autoRedefine/>
    <w:qFormat/>
    <w:uiPriority w:val="0"/>
    <w:pPr>
      <w:keepNext/>
      <w:pageBreakBefore/>
      <w:widowControl/>
      <w:numPr>
        <w:ilvl w:val="0"/>
        <w:numId w:val="34"/>
      </w:numPr>
      <w:spacing w:line="14" w:lineRule="exact"/>
      <w:ind w:left="0" w:firstLine="363"/>
      <w:jc w:val="center"/>
      <w:outlineLvl w:val="0"/>
    </w:pPr>
    <w:rPr>
      <w:rFonts w:ascii="Times New Roman" w:hAnsi="Times New Roman" w:eastAsia="宋体" w:cs="Times New Roman"/>
      <w:color w:val="FFFFFF"/>
      <w:szCs w:val="24"/>
    </w:rPr>
  </w:style>
  <w:style w:type="paragraph" w:customStyle="1" w:styleId="276">
    <w:name w:val="附录图标题"/>
    <w:basedOn w:val="1"/>
    <w:next w:val="40"/>
    <w:autoRedefine/>
    <w:qFormat/>
    <w:uiPriority w:val="0"/>
    <w:pPr>
      <w:numPr>
        <w:ilvl w:val="1"/>
        <w:numId w:val="34"/>
      </w:numPr>
      <w:tabs>
        <w:tab w:val="left" w:pos="363"/>
      </w:tabs>
      <w:spacing w:beforeLines="50" w:afterLines="50"/>
      <w:ind w:left="0" w:firstLine="0"/>
      <w:jc w:val="center"/>
    </w:pPr>
    <w:rPr>
      <w:rFonts w:ascii="黑体" w:hAnsi="Times New Roman" w:eastAsia="黑体" w:cs="Times New Roman"/>
      <w:szCs w:val="21"/>
    </w:rPr>
  </w:style>
  <w:style w:type="paragraph" w:customStyle="1" w:styleId="277">
    <w:name w:val="附录一级无"/>
    <w:basedOn w:val="267"/>
    <w:autoRedefine/>
    <w:qFormat/>
    <w:uiPriority w:val="0"/>
    <w:pPr>
      <w:tabs>
        <w:tab w:val="clear" w:pos="360"/>
      </w:tabs>
      <w:spacing w:beforeLines="0" w:afterLines="0"/>
      <w:ind w:left="397"/>
    </w:pPr>
    <w:rPr>
      <w:rFonts w:ascii="宋体" w:eastAsia="宋体"/>
      <w:szCs w:val="21"/>
    </w:rPr>
  </w:style>
  <w:style w:type="paragraph" w:styleId="278">
    <w:name w:val="List Paragraph"/>
    <w:basedOn w:val="1"/>
    <w:autoRedefine/>
    <w:qFormat/>
    <w:uiPriority w:val="34"/>
    <w:pPr>
      <w:ind w:firstLine="420" w:firstLineChars="200"/>
    </w:pPr>
  </w:style>
  <w:style w:type="paragraph" w:customStyle="1" w:styleId="279">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6" Type="http://schemas.openxmlformats.org/officeDocument/2006/relationships/glossaryDocument" Target="glossary/document.xml"/><Relationship Id="rId55" Type="http://schemas.openxmlformats.org/officeDocument/2006/relationships/fontTable" Target="fontTable.xml"/><Relationship Id="rId54" Type="http://schemas.openxmlformats.org/officeDocument/2006/relationships/customXml" Target="../customXml/item2.xml"/><Relationship Id="rId53" Type="http://schemas.openxmlformats.org/officeDocument/2006/relationships/numbering" Target="numbering.xml"/><Relationship Id="rId52" Type="http://schemas.openxmlformats.org/officeDocument/2006/relationships/customXml" Target="../customXml/item1.xml"/><Relationship Id="rId51" Type="http://schemas.openxmlformats.org/officeDocument/2006/relationships/image" Target="media/image22.jpeg"/><Relationship Id="rId50" Type="http://schemas.openxmlformats.org/officeDocument/2006/relationships/image" Target="media/image21.png"/><Relationship Id="rId5" Type="http://schemas.openxmlformats.org/officeDocument/2006/relationships/header" Target="header2.xml"/><Relationship Id="rId49" Type="http://schemas.openxmlformats.org/officeDocument/2006/relationships/oleObject" Target="embeddings/oleObject12.bin"/><Relationship Id="rId48" Type="http://schemas.openxmlformats.org/officeDocument/2006/relationships/image" Target="media/image20.png"/><Relationship Id="rId47" Type="http://schemas.openxmlformats.org/officeDocument/2006/relationships/oleObject" Target="embeddings/oleObject11.bin"/><Relationship Id="rId46" Type="http://schemas.openxmlformats.org/officeDocument/2006/relationships/image" Target="media/image19.png"/><Relationship Id="rId45" Type="http://schemas.openxmlformats.org/officeDocument/2006/relationships/oleObject" Target="embeddings/oleObject10.bin"/><Relationship Id="rId44" Type="http://schemas.openxmlformats.org/officeDocument/2006/relationships/image" Target="media/image18.png"/><Relationship Id="rId43" Type="http://schemas.openxmlformats.org/officeDocument/2006/relationships/oleObject" Target="embeddings/oleObject9.bin"/><Relationship Id="rId42" Type="http://schemas.openxmlformats.org/officeDocument/2006/relationships/image" Target="media/image17.png"/><Relationship Id="rId41" Type="http://schemas.openxmlformats.org/officeDocument/2006/relationships/oleObject" Target="embeddings/oleObject8.bin"/><Relationship Id="rId40" Type="http://schemas.openxmlformats.org/officeDocument/2006/relationships/image" Target="media/image16.png"/><Relationship Id="rId4" Type="http://schemas.openxmlformats.org/officeDocument/2006/relationships/footer" Target="footer1.xml"/><Relationship Id="rId39" Type="http://schemas.openxmlformats.org/officeDocument/2006/relationships/oleObject" Target="embeddings/oleObject7.bin"/><Relationship Id="rId38" Type="http://schemas.openxmlformats.org/officeDocument/2006/relationships/image" Target="media/image15.jpeg"/><Relationship Id="rId37" Type="http://schemas.openxmlformats.org/officeDocument/2006/relationships/image" Target="media/image14.jpeg"/><Relationship Id="rId36" Type="http://schemas.openxmlformats.org/officeDocument/2006/relationships/image" Target="media/image13.png"/><Relationship Id="rId35" Type="http://schemas.openxmlformats.org/officeDocument/2006/relationships/oleObject" Target="embeddings/oleObject6.bin"/><Relationship Id="rId34" Type="http://schemas.openxmlformats.org/officeDocument/2006/relationships/image" Target="media/image12.png"/><Relationship Id="rId33" Type="http://schemas.openxmlformats.org/officeDocument/2006/relationships/image" Target="media/image11.png"/><Relationship Id="rId32" Type="http://schemas.openxmlformats.org/officeDocument/2006/relationships/image" Target="media/image10.png"/><Relationship Id="rId31" Type="http://schemas.openxmlformats.org/officeDocument/2006/relationships/oleObject" Target="embeddings/oleObject5.bin"/><Relationship Id="rId30" Type="http://schemas.openxmlformats.org/officeDocument/2006/relationships/image" Target="media/image9.png"/><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8.png"/><Relationship Id="rId27" Type="http://schemas.openxmlformats.org/officeDocument/2006/relationships/oleObject" Target="embeddings/oleObject3.bin"/><Relationship Id="rId26" Type="http://schemas.openxmlformats.org/officeDocument/2006/relationships/image" Target="media/image7.wmf"/><Relationship Id="rId25" Type="http://schemas.openxmlformats.org/officeDocument/2006/relationships/image" Target="media/image6.png"/><Relationship Id="rId24" Type="http://schemas.openxmlformats.org/officeDocument/2006/relationships/oleObject" Target="embeddings/oleObject2.bin"/><Relationship Id="rId23" Type="http://schemas.openxmlformats.org/officeDocument/2006/relationships/image" Target="media/image5.png"/><Relationship Id="rId22" Type="http://schemas.openxmlformats.org/officeDocument/2006/relationships/oleObject" Target="embeddings/oleObject1.bin"/><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emf"/><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669B6FDA14E4282BC484AFF1EC1422C"/>
        <w:style w:val=""/>
        <w:category>
          <w:name w:val="常规"/>
          <w:gallery w:val="placeholder"/>
        </w:category>
        <w:types>
          <w:type w:val="bbPlcHdr"/>
        </w:types>
        <w:behaviors>
          <w:behavior w:val="content"/>
        </w:behaviors>
        <w:description w:val=""/>
        <w:guid w:val="{9C69F81A-5215-4452-96C4-25A94539AB3F}"/>
      </w:docPartPr>
      <w:docPartBody>
        <w:p>
          <w:pPr>
            <w:pStyle w:val="5"/>
            <w:rPr>
              <w:rFonts w:hint="eastAsia"/>
            </w:rPr>
          </w:pPr>
          <w:r>
            <w:rPr>
              <w:rStyle w:val="4"/>
              <w:rFonts w:hint="eastAsia"/>
            </w:rPr>
            <w:t>单击或点击此处输入文字。</w:t>
          </w:r>
        </w:p>
      </w:docPartBody>
    </w:docPart>
    <w:docPart>
      <w:docPartPr>
        <w:name w:val="67A542DB21534164A8B99FDABA24B47D"/>
        <w:style w:val=""/>
        <w:category>
          <w:name w:val="常规"/>
          <w:gallery w:val="placeholder"/>
        </w:category>
        <w:types>
          <w:type w:val="bbPlcHdr"/>
        </w:types>
        <w:behaviors>
          <w:behavior w:val="content"/>
        </w:behaviors>
        <w:description w:val=""/>
        <w:guid w:val="{BE64D8E9-729C-487A-BF81-6913FB098A41}"/>
      </w:docPartPr>
      <w:docPartBody>
        <w:p>
          <w:pPr>
            <w:pStyle w:val="6"/>
            <w:rPr>
              <w:rFonts w:hint="eastAsia"/>
            </w:rPr>
          </w:pPr>
          <w:r>
            <w:rPr>
              <w:rStyle w:val="4"/>
              <w:rFonts w:hint="eastAsia"/>
            </w:rPr>
            <w:t>选择一项。</w:t>
          </w:r>
        </w:p>
      </w:docPartBody>
    </w:docPart>
    <w:docPart>
      <w:docPartPr>
        <w:name w:val="2C6764793C4A47F8B61CAF24F3BBFBF8"/>
        <w:style w:val=""/>
        <w:category>
          <w:name w:val="常规"/>
          <w:gallery w:val="placeholder"/>
        </w:category>
        <w:types>
          <w:type w:val="bbPlcHdr"/>
        </w:types>
        <w:behaviors>
          <w:behavior w:val="content"/>
        </w:behaviors>
        <w:description w:val=""/>
        <w:guid w:val="{6F34F476-58FB-43CF-9018-257C115806CB}"/>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DD7"/>
    <w:rsid w:val="002547BB"/>
    <w:rsid w:val="0029366F"/>
    <w:rsid w:val="00295392"/>
    <w:rsid w:val="003643E6"/>
    <w:rsid w:val="00367E1B"/>
    <w:rsid w:val="003C5D77"/>
    <w:rsid w:val="00711A21"/>
    <w:rsid w:val="00794466"/>
    <w:rsid w:val="007C5BDC"/>
    <w:rsid w:val="009D27A8"/>
    <w:rsid w:val="00B547EF"/>
    <w:rsid w:val="00BB0DD7"/>
    <w:rsid w:val="00C17223"/>
    <w:rsid w:val="00C200EB"/>
    <w:rsid w:val="00C33AD1"/>
    <w:rsid w:val="00CA28FA"/>
    <w:rsid w:val="00DD6B0D"/>
    <w:rsid w:val="00DF1D46"/>
    <w:rsid w:val="00FF6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669B6FDA14E4282BC484AFF1EC1422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7A542DB21534164A8B99FDABA24B47D"/>
    <w:autoRedefin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C6764793C4A47F8B61CAF24F3BBFBF8"/>
    <w:autoRedefine/>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9E4DA3-336F-4EC5-92E2-822D02C7EE1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26</Pages>
  <Words>7509</Words>
  <Characters>9387</Characters>
  <Lines>938</Lines>
  <Paragraphs>1055</Paragraphs>
  <TotalTime>122</TotalTime>
  <ScaleCrop>false</ScaleCrop>
  <LinksUpToDate>false</LinksUpToDate>
  <CharactersWithSpaces>15841</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2025-05-05T07:33:00Z</dcterms:created>
  <dc:creator>蔡 先生</dc:creator>
  <cp:lastModifiedBy>春天花朵</cp:lastModifiedBy>
  <dcterms:modified xsi:type="dcterms:W3CDTF">2025-12-12T01:48:38Z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9032C2AC4B15477BA72AB9A7F923E822_12</vt:lpwstr>
  </property>
</Properties>
</file>